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3DA0DC" w14:textId="30921911" w:rsidR="00EA50C8" w:rsidRPr="002600DA" w:rsidRDefault="006E51B3" w:rsidP="005D1FBF">
      <w:pPr>
        <w:tabs>
          <w:tab w:val="left" w:pos="7938"/>
        </w:tabs>
        <w:rPr>
          <w:rFonts w:ascii="Arial" w:hAnsi="Arial" w:cs="Arial"/>
          <w:b/>
        </w:rPr>
      </w:pPr>
      <w:r>
        <w:rPr>
          <w:rFonts w:ascii="Arial" w:hAnsi="Arial" w:cs="Arial"/>
          <w:b/>
        </w:rPr>
        <w:t xml:space="preserve">For </w:t>
      </w:r>
      <w:r w:rsidR="00367D05">
        <w:rPr>
          <w:rFonts w:ascii="Arial" w:hAnsi="Arial" w:cs="Arial"/>
          <w:b/>
        </w:rPr>
        <w:t>Educational Quality Committee</w:t>
      </w:r>
      <w:r w:rsidR="005D1FBF">
        <w:rPr>
          <w:rFonts w:ascii="Arial" w:hAnsi="Arial" w:cs="Arial"/>
          <w:b/>
        </w:rPr>
        <w:tab/>
        <w:t xml:space="preserve">Item </w:t>
      </w:r>
      <w:r w:rsidR="00367D05">
        <w:rPr>
          <w:rFonts w:ascii="Arial" w:hAnsi="Arial" w:cs="Arial"/>
          <w:b/>
        </w:rPr>
        <w:t>10</w:t>
      </w:r>
    </w:p>
    <w:p w14:paraId="2E50F416" w14:textId="67890624" w:rsidR="00C66D43" w:rsidRPr="002600DA" w:rsidRDefault="00367D05">
      <w:pPr>
        <w:rPr>
          <w:rFonts w:ascii="Arial" w:hAnsi="Arial" w:cs="Arial"/>
          <w:b/>
        </w:rPr>
      </w:pPr>
      <w:r>
        <w:rPr>
          <w:rFonts w:ascii="Arial" w:hAnsi="Arial" w:cs="Arial"/>
          <w:b/>
        </w:rPr>
        <w:t>25</w:t>
      </w:r>
      <w:r w:rsidR="00085396">
        <w:rPr>
          <w:rFonts w:ascii="Arial" w:hAnsi="Arial" w:cs="Arial"/>
          <w:b/>
        </w:rPr>
        <w:t xml:space="preserve"> October 2022</w:t>
      </w:r>
    </w:p>
    <w:p w14:paraId="72B0B380" w14:textId="77777777" w:rsidR="00C66D43" w:rsidRPr="002600DA" w:rsidRDefault="00C66D43">
      <w:pPr>
        <w:rPr>
          <w:rFonts w:ascii="Arial" w:hAnsi="Arial" w:cs="Arial"/>
        </w:rPr>
      </w:pPr>
    </w:p>
    <w:tbl>
      <w:tblPr>
        <w:tblStyle w:val="TableGrid"/>
        <w:tblW w:w="0" w:type="auto"/>
        <w:tblLook w:val="04A0" w:firstRow="1" w:lastRow="0" w:firstColumn="1" w:lastColumn="0" w:noHBand="0" w:noVBand="1"/>
      </w:tblPr>
      <w:tblGrid>
        <w:gridCol w:w="9016"/>
      </w:tblGrid>
      <w:tr w:rsidR="00D869EC" w:rsidRPr="002600DA" w14:paraId="489902B2" w14:textId="77777777" w:rsidTr="00D869EC">
        <w:trPr>
          <w:trHeight w:val="340"/>
        </w:trPr>
        <w:tc>
          <w:tcPr>
            <w:tcW w:w="9016" w:type="dxa"/>
            <w:shd w:val="clear" w:color="auto" w:fill="D5DCE4" w:themeFill="text2" w:themeFillTint="33"/>
            <w:vAlign w:val="center"/>
          </w:tcPr>
          <w:p w14:paraId="7FE32896" w14:textId="0289C5CC" w:rsidR="00D869EC" w:rsidRPr="002600DA" w:rsidRDefault="00D869EC" w:rsidP="00A7012E">
            <w:pPr>
              <w:rPr>
                <w:rFonts w:ascii="Arial" w:hAnsi="Arial" w:cs="Arial"/>
              </w:rPr>
            </w:pPr>
            <w:r w:rsidRPr="002600DA">
              <w:rPr>
                <w:rFonts w:ascii="Arial" w:hAnsi="Arial" w:cs="Arial"/>
                <w:b/>
              </w:rPr>
              <w:t>Access restrictions:</w:t>
            </w:r>
            <w:r w:rsidRPr="002600DA">
              <w:rPr>
                <w:rFonts w:ascii="Arial" w:hAnsi="Arial" w:cs="Arial"/>
              </w:rPr>
              <w:t xml:space="preserve"> </w:t>
            </w:r>
            <w:r w:rsidR="006A7948">
              <w:rPr>
                <w:rFonts w:ascii="Arial" w:hAnsi="Arial" w:cs="Arial"/>
                <w:b/>
              </w:rPr>
              <w:t>Closed</w:t>
            </w:r>
            <w:r w:rsidR="00A7012E">
              <w:rPr>
                <w:rFonts w:ascii="Arial" w:hAnsi="Arial" w:cs="Arial"/>
                <w:b/>
              </w:rPr>
              <w:t xml:space="preserve"> </w:t>
            </w:r>
          </w:p>
        </w:tc>
      </w:tr>
    </w:tbl>
    <w:p w14:paraId="31093869" w14:textId="77777777" w:rsidR="00D869EC" w:rsidRPr="002600DA" w:rsidRDefault="00D869EC">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D869EC" w:rsidRPr="002600DA" w14:paraId="57E17038" w14:textId="77777777" w:rsidTr="00D869EC">
        <w:tc>
          <w:tcPr>
            <w:tcW w:w="1413" w:type="dxa"/>
          </w:tcPr>
          <w:p w14:paraId="49C5F481" w14:textId="77777777" w:rsidR="00D869EC" w:rsidRPr="002600DA" w:rsidRDefault="00D869EC">
            <w:pPr>
              <w:rPr>
                <w:rFonts w:ascii="Arial" w:hAnsi="Arial" w:cs="Arial"/>
              </w:rPr>
            </w:pPr>
            <w:r w:rsidRPr="002600DA">
              <w:rPr>
                <w:rFonts w:ascii="Arial" w:hAnsi="Arial" w:cs="Arial"/>
              </w:rPr>
              <w:t>From:</w:t>
            </w:r>
          </w:p>
        </w:tc>
        <w:tc>
          <w:tcPr>
            <w:tcW w:w="7603" w:type="dxa"/>
          </w:tcPr>
          <w:p w14:paraId="4A41C2F8" w14:textId="0BBECDB4" w:rsidR="00D869EC" w:rsidRPr="002600DA" w:rsidRDefault="00085396">
            <w:pPr>
              <w:rPr>
                <w:rFonts w:ascii="Arial" w:hAnsi="Arial" w:cs="Arial"/>
              </w:rPr>
            </w:pPr>
            <w:r>
              <w:rPr>
                <w:rFonts w:ascii="Arial" w:hAnsi="Arial" w:cs="Arial"/>
              </w:rPr>
              <w:t>Professor Juliet John and Rafe Smallman</w:t>
            </w:r>
          </w:p>
        </w:tc>
      </w:tr>
      <w:tr w:rsidR="00D869EC" w:rsidRPr="002600DA" w14:paraId="5C67144F" w14:textId="77777777" w:rsidTr="00D869EC">
        <w:tc>
          <w:tcPr>
            <w:tcW w:w="1413" w:type="dxa"/>
          </w:tcPr>
          <w:p w14:paraId="7E9B0329" w14:textId="77777777" w:rsidR="00D869EC" w:rsidRPr="002600DA" w:rsidRDefault="00D869EC">
            <w:pPr>
              <w:rPr>
                <w:rFonts w:ascii="Arial" w:hAnsi="Arial" w:cs="Arial"/>
              </w:rPr>
            </w:pPr>
          </w:p>
        </w:tc>
        <w:tc>
          <w:tcPr>
            <w:tcW w:w="7603" w:type="dxa"/>
          </w:tcPr>
          <w:p w14:paraId="1BD52E8A" w14:textId="77777777" w:rsidR="00D869EC" w:rsidRPr="002600DA" w:rsidRDefault="00D869EC">
            <w:pPr>
              <w:rPr>
                <w:rFonts w:ascii="Arial" w:hAnsi="Arial" w:cs="Arial"/>
              </w:rPr>
            </w:pPr>
          </w:p>
        </w:tc>
      </w:tr>
      <w:tr w:rsidR="00D869EC" w:rsidRPr="002600DA" w14:paraId="6318C8CC" w14:textId="77777777" w:rsidTr="00D869EC">
        <w:tc>
          <w:tcPr>
            <w:tcW w:w="1413" w:type="dxa"/>
          </w:tcPr>
          <w:p w14:paraId="79831308" w14:textId="77777777" w:rsidR="00D869EC" w:rsidRPr="002600DA" w:rsidRDefault="00D869EC">
            <w:pPr>
              <w:rPr>
                <w:rFonts w:ascii="Arial" w:hAnsi="Arial" w:cs="Arial"/>
              </w:rPr>
            </w:pPr>
            <w:r w:rsidRPr="002600DA">
              <w:rPr>
                <w:rFonts w:ascii="Arial" w:hAnsi="Arial" w:cs="Arial"/>
                <w:b/>
              </w:rPr>
              <w:t>Subject:</w:t>
            </w:r>
          </w:p>
        </w:tc>
        <w:tc>
          <w:tcPr>
            <w:tcW w:w="7603" w:type="dxa"/>
          </w:tcPr>
          <w:p w14:paraId="347E0F2C" w14:textId="4612CBC2" w:rsidR="00D869EC" w:rsidRPr="002600DA" w:rsidRDefault="00E7234B">
            <w:pPr>
              <w:rPr>
                <w:rFonts w:ascii="Arial" w:hAnsi="Arial" w:cs="Arial"/>
              </w:rPr>
            </w:pPr>
            <w:proofErr w:type="spellStart"/>
            <w:r>
              <w:rPr>
                <w:rFonts w:ascii="Arial" w:hAnsi="Arial" w:cs="Arial"/>
                <w:b/>
              </w:rPr>
              <w:t>OfS</w:t>
            </w:r>
            <w:proofErr w:type="spellEnd"/>
            <w:r>
              <w:rPr>
                <w:rFonts w:ascii="Arial" w:hAnsi="Arial" w:cs="Arial"/>
                <w:b/>
              </w:rPr>
              <w:t xml:space="preserve"> Compliance </w:t>
            </w:r>
            <w:bookmarkStart w:id="0" w:name="_GoBack"/>
            <w:bookmarkEnd w:id="0"/>
          </w:p>
        </w:tc>
      </w:tr>
      <w:tr w:rsidR="00D869EC" w:rsidRPr="002600DA" w14:paraId="64DA5FE2" w14:textId="77777777" w:rsidTr="00D869EC">
        <w:tc>
          <w:tcPr>
            <w:tcW w:w="1413" w:type="dxa"/>
          </w:tcPr>
          <w:p w14:paraId="48DC34B1" w14:textId="77777777" w:rsidR="00D869EC" w:rsidRPr="002600DA" w:rsidRDefault="00D869EC">
            <w:pPr>
              <w:rPr>
                <w:rFonts w:ascii="Arial" w:hAnsi="Arial" w:cs="Arial"/>
              </w:rPr>
            </w:pPr>
          </w:p>
        </w:tc>
        <w:tc>
          <w:tcPr>
            <w:tcW w:w="7603" w:type="dxa"/>
          </w:tcPr>
          <w:p w14:paraId="42DE4A6F" w14:textId="77777777" w:rsidR="00D869EC" w:rsidRPr="002600DA" w:rsidRDefault="00D869EC">
            <w:pPr>
              <w:rPr>
                <w:rFonts w:ascii="Arial" w:hAnsi="Arial" w:cs="Arial"/>
              </w:rPr>
            </w:pPr>
          </w:p>
        </w:tc>
      </w:tr>
      <w:tr w:rsidR="002600DA" w:rsidRPr="002600DA" w14:paraId="487B1715" w14:textId="77777777" w:rsidTr="00D869EC">
        <w:tc>
          <w:tcPr>
            <w:tcW w:w="1413" w:type="dxa"/>
          </w:tcPr>
          <w:p w14:paraId="289D5FF5" w14:textId="77777777" w:rsidR="002600DA" w:rsidRPr="002600DA" w:rsidRDefault="002600DA">
            <w:pPr>
              <w:rPr>
                <w:rFonts w:ascii="Arial" w:hAnsi="Arial" w:cs="Arial"/>
              </w:rPr>
            </w:pPr>
            <w:r w:rsidRPr="002600DA">
              <w:rPr>
                <w:rFonts w:ascii="Arial" w:hAnsi="Arial" w:cs="Arial"/>
              </w:rPr>
              <w:t>Status:</w:t>
            </w:r>
          </w:p>
        </w:tc>
        <w:tc>
          <w:tcPr>
            <w:tcW w:w="7603" w:type="dxa"/>
          </w:tcPr>
          <w:p w14:paraId="38770156" w14:textId="73548618" w:rsidR="002600DA" w:rsidRPr="00DE1218" w:rsidRDefault="00085396">
            <w:pPr>
              <w:rPr>
                <w:rFonts w:ascii="Arial" w:hAnsi="Arial" w:cs="Arial"/>
                <w:u w:val="single"/>
              </w:rPr>
            </w:pPr>
            <w:r>
              <w:rPr>
                <w:rFonts w:ascii="Arial" w:hAnsi="Arial" w:cs="Arial"/>
                <w:u w:val="single"/>
              </w:rPr>
              <w:t>F</w:t>
            </w:r>
            <w:r w:rsidR="002600DA" w:rsidRPr="00DE1218">
              <w:rPr>
                <w:rFonts w:ascii="Arial" w:hAnsi="Arial" w:cs="Arial"/>
                <w:u w:val="single"/>
              </w:rPr>
              <w:t>inal version for approval</w:t>
            </w:r>
          </w:p>
        </w:tc>
      </w:tr>
      <w:tr w:rsidR="002600DA" w:rsidRPr="002600DA" w14:paraId="64579DE6" w14:textId="77777777" w:rsidTr="00D869EC">
        <w:tc>
          <w:tcPr>
            <w:tcW w:w="1413" w:type="dxa"/>
          </w:tcPr>
          <w:p w14:paraId="35316E7A" w14:textId="77777777" w:rsidR="002600DA" w:rsidRPr="002600DA" w:rsidRDefault="002600DA">
            <w:pPr>
              <w:rPr>
                <w:rFonts w:ascii="Arial" w:hAnsi="Arial" w:cs="Arial"/>
              </w:rPr>
            </w:pPr>
          </w:p>
        </w:tc>
        <w:tc>
          <w:tcPr>
            <w:tcW w:w="7603" w:type="dxa"/>
          </w:tcPr>
          <w:p w14:paraId="4467FCBC" w14:textId="77777777" w:rsidR="002600DA" w:rsidRPr="002600DA" w:rsidRDefault="002600DA">
            <w:pPr>
              <w:rPr>
                <w:rFonts w:ascii="Arial" w:hAnsi="Arial" w:cs="Arial"/>
              </w:rPr>
            </w:pPr>
          </w:p>
        </w:tc>
      </w:tr>
      <w:tr w:rsidR="00D869EC" w:rsidRPr="002600DA" w14:paraId="52B49E1E" w14:textId="77777777" w:rsidTr="00D869EC">
        <w:tc>
          <w:tcPr>
            <w:tcW w:w="1413" w:type="dxa"/>
          </w:tcPr>
          <w:p w14:paraId="10516616" w14:textId="77777777" w:rsidR="00D869EC" w:rsidRPr="002600DA" w:rsidRDefault="00D869EC">
            <w:pPr>
              <w:rPr>
                <w:rFonts w:ascii="Arial" w:hAnsi="Arial" w:cs="Arial"/>
              </w:rPr>
            </w:pPr>
            <w:r w:rsidRPr="002600DA">
              <w:rPr>
                <w:rFonts w:ascii="Arial" w:hAnsi="Arial" w:cs="Arial"/>
              </w:rPr>
              <w:t>Author(s):</w:t>
            </w:r>
          </w:p>
        </w:tc>
        <w:tc>
          <w:tcPr>
            <w:tcW w:w="7603" w:type="dxa"/>
          </w:tcPr>
          <w:p w14:paraId="1DC61231" w14:textId="24CCA2C0" w:rsidR="00D869EC" w:rsidRPr="002600DA" w:rsidRDefault="00085396">
            <w:pPr>
              <w:rPr>
                <w:rFonts w:ascii="Arial" w:hAnsi="Arial" w:cs="Arial"/>
              </w:rPr>
            </w:pPr>
            <w:r>
              <w:rPr>
                <w:rFonts w:ascii="Arial" w:hAnsi="Arial" w:cs="Arial"/>
              </w:rPr>
              <w:t>Rafe Smallman</w:t>
            </w:r>
          </w:p>
        </w:tc>
      </w:tr>
      <w:tr w:rsidR="00D869EC" w:rsidRPr="002600DA" w14:paraId="6B0595FC" w14:textId="77777777" w:rsidTr="00D869EC">
        <w:tc>
          <w:tcPr>
            <w:tcW w:w="1413" w:type="dxa"/>
          </w:tcPr>
          <w:p w14:paraId="7622C734" w14:textId="77777777" w:rsidR="00D869EC" w:rsidRPr="002600DA" w:rsidRDefault="00D869EC">
            <w:pPr>
              <w:rPr>
                <w:rFonts w:ascii="Arial" w:hAnsi="Arial" w:cs="Arial"/>
              </w:rPr>
            </w:pPr>
          </w:p>
        </w:tc>
        <w:tc>
          <w:tcPr>
            <w:tcW w:w="7603" w:type="dxa"/>
          </w:tcPr>
          <w:p w14:paraId="2F40FBB8" w14:textId="77777777" w:rsidR="00D869EC" w:rsidRPr="002600DA" w:rsidRDefault="00D869EC">
            <w:pPr>
              <w:rPr>
                <w:rFonts w:ascii="Arial" w:hAnsi="Arial" w:cs="Arial"/>
              </w:rPr>
            </w:pPr>
          </w:p>
        </w:tc>
      </w:tr>
      <w:tr w:rsidR="00D869EC" w14:paraId="5984EE59" w14:textId="77777777" w:rsidTr="00D869EC">
        <w:tc>
          <w:tcPr>
            <w:tcW w:w="1413" w:type="dxa"/>
          </w:tcPr>
          <w:p w14:paraId="5057E413" w14:textId="77777777" w:rsidR="00D869EC" w:rsidRPr="002600DA" w:rsidRDefault="00D869EC">
            <w:pPr>
              <w:rPr>
                <w:rFonts w:ascii="Arial" w:hAnsi="Arial" w:cs="Arial"/>
              </w:rPr>
            </w:pPr>
            <w:r w:rsidRPr="002600DA">
              <w:rPr>
                <w:rFonts w:ascii="Arial" w:hAnsi="Arial" w:cs="Arial"/>
              </w:rPr>
              <w:t>Sponsor:</w:t>
            </w:r>
          </w:p>
        </w:tc>
        <w:tc>
          <w:tcPr>
            <w:tcW w:w="7603" w:type="dxa"/>
          </w:tcPr>
          <w:p w14:paraId="56D58CBC" w14:textId="4D53612F" w:rsidR="00D869EC" w:rsidRPr="002600DA" w:rsidRDefault="00085396">
            <w:pPr>
              <w:rPr>
                <w:rFonts w:ascii="Arial" w:hAnsi="Arial" w:cs="Arial"/>
              </w:rPr>
            </w:pPr>
            <w:r>
              <w:rPr>
                <w:rFonts w:ascii="Arial" w:hAnsi="Arial" w:cs="Arial"/>
              </w:rPr>
              <w:t xml:space="preserve">Professor Juliet John </w:t>
            </w:r>
          </w:p>
        </w:tc>
      </w:tr>
    </w:tbl>
    <w:p w14:paraId="5BB8B54E" w14:textId="77777777" w:rsidR="00C66D43" w:rsidRPr="00230684" w:rsidRDefault="00C66D43">
      <w:pPr>
        <w:rPr>
          <w:rFonts w:ascii="Arial" w:hAnsi="Arial" w:cs="Arial"/>
        </w:rPr>
      </w:pPr>
    </w:p>
    <w:tbl>
      <w:tblPr>
        <w:tblStyle w:val="TableGrid"/>
        <w:tblW w:w="0" w:type="auto"/>
        <w:tblLook w:val="04A0" w:firstRow="1" w:lastRow="0" w:firstColumn="1" w:lastColumn="0" w:noHBand="0" w:noVBand="1"/>
      </w:tblPr>
      <w:tblGrid>
        <w:gridCol w:w="2450"/>
        <w:gridCol w:w="6566"/>
      </w:tblGrid>
      <w:tr w:rsidR="00230684" w:rsidRPr="00230684" w14:paraId="06E10F57" w14:textId="77777777" w:rsidTr="00230684">
        <w:trPr>
          <w:trHeight w:val="340"/>
        </w:trPr>
        <w:tc>
          <w:tcPr>
            <w:tcW w:w="9628" w:type="dxa"/>
            <w:gridSpan w:val="2"/>
            <w:shd w:val="clear" w:color="auto" w:fill="D5DCE4" w:themeFill="text2" w:themeFillTint="33"/>
            <w:vAlign w:val="center"/>
          </w:tcPr>
          <w:p w14:paraId="58105D88" w14:textId="77777777" w:rsidR="00230684" w:rsidRPr="00230684" w:rsidRDefault="00230684" w:rsidP="00230684">
            <w:pPr>
              <w:rPr>
                <w:rFonts w:ascii="Arial" w:hAnsi="Arial" w:cs="Arial"/>
                <w:b/>
              </w:rPr>
            </w:pPr>
            <w:r w:rsidRPr="00230684">
              <w:rPr>
                <w:rFonts w:ascii="Arial" w:hAnsi="Arial" w:cs="Arial"/>
                <w:b/>
              </w:rPr>
              <w:t>Executive summary</w:t>
            </w:r>
          </w:p>
        </w:tc>
      </w:tr>
      <w:tr w:rsidR="00C66D43" w:rsidRPr="00230684" w14:paraId="33401273" w14:textId="77777777" w:rsidTr="00083466">
        <w:trPr>
          <w:trHeight w:val="255"/>
        </w:trPr>
        <w:tc>
          <w:tcPr>
            <w:tcW w:w="9628" w:type="dxa"/>
            <w:gridSpan w:val="2"/>
          </w:tcPr>
          <w:p w14:paraId="0316236C" w14:textId="77777777" w:rsidR="00C66D43" w:rsidRDefault="00C66D43">
            <w:pPr>
              <w:rPr>
                <w:rFonts w:ascii="Arial" w:hAnsi="Arial" w:cs="Arial"/>
              </w:rPr>
            </w:pPr>
          </w:p>
          <w:p w14:paraId="1BFA0F13" w14:textId="77777777" w:rsidR="004525C2" w:rsidRDefault="004525C2" w:rsidP="004525C2">
            <w:pPr>
              <w:rPr>
                <w:rFonts w:ascii="Arial" w:hAnsi="Arial" w:cs="Arial"/>
              </w:rPr>
            </w:pPr>
            <w:r>
              <w:rPr>
                <w:rFonts w:ascii="Arial" w:hAnsi="Arial" w:cs="Arial"/>
              </w:rPr>
              <w:t>The Office for Students (OfS) is the primary body for regulating academic quality and standards in England. Over the past two years the OfS has consulted significantly on its regulatory structure for quality and standards as set out in the B conditions of the OfS’ regulatory framework. In recent months OfS have published their final proposals for the revised B conditions, and in late September published the data that will be used to make an initial assessment of each institution in relation to quality and standards.</w:t>
            </w:r>
          </w:p>
          <w:p w14:paraId="1FEEE6D8" w14:textId="6321054C" w:rsidR="00D869EC" w:rsidRDefault="00D869EC">
            <w:pPr>
              <w:rPr>
                <w:rFonts w:ascii="Arial" w:hAnsi="Arial" w:cs="Arial"/>
              </w:rPr>
            </w:pPr>
          </w:p>
          <w:p w14:paraId="04D513B3" w14:textId="133E75E4" w:rsidR="004525C2" w:rsidRDefault="004525C2">
            <w:pPr>
              <w:rPr>
                <w:rFonts w:ascii="Arial" w:hAnsi="Arial" w:cs="Arial"/>
              </w:rPr>
            </w:pPr>
            <w:r>
              <w:rPr>
                <w:rFonts w:ascii="Arial" w:hAnsi="Arial" w:cs="Arial"/>
              </w:rPr>
              <w:t>This paper sets out the context and proposes approaches for City to respond.</w:t>
            </w:r>
          </w:p>
          <w:p w14:paraId="2E3A1D84" w14:textId="17AB9B25" w:rsidR="004525C2" w:rsidRDefault="004525C2">
            <w:pPr>
              <w:rPr>
                <w:rFonts w:ascii="Arial" w:hAnsi="Arial" w:cs="Arial"/>
              </w:rPr>
            </w:pPr>
          </w:p>
          <w:p w14:paraId="2EBFC6AB" w14:textId="080FAF36" w:rsidR="00367D05" w:rsidRPr="00367D05" w:rsidRDefault="00367D05" w:rsidP="00367D05">
            <w:pPr>
              <w:rPr>
                <w:rFonts w:ascii="Arial" w:hAnsi="Arial" w:cs="Arial"/>
              </w:rPr>
            </w:pPr>
            <w:r>
              <w:rPr>
                <w:rFonts w:ascii="Arial" w:hAnsi="Arial" w:cs="Arial"/>
              </w:rPr>
              <w:t xml:space="preserve">Senate approved this paper at its meeting on 19 October 2022. It was agreed to </w:t>
            </w:r>
            <w:r w:rsidRPr="00367D05">
              <w:rPr>
                <w:rFonts w:ascii="Arial" w:hAnsi="Arial" w:cs="Arial"/>
              </w:rPr>
              <w:t xml:space="preserve">share this approach more widely with colleagues in </w:t>
            </w:r>
            <w:r>
              <w:rPr>
                <w:rFonts w:ascii="Arial" w:hAnsi="Arial" w:cs="Arial"/>
              </w:rPr>
              <w:t>S</w:t>
            </w:r>
            <w:r w:rsidRPr="00367D05">
              <w:rPr>
                <w:rFonts w:ascii="Arial" w:hAnsi="Arial" w:cs="Arial"/>
              </w:rPr>
              <w:t xml:space="preserve">chools, in particular relevant </w:t>
            </w:r>
            <w:r>
              <w:rPr>
                <w:rFonts w:ascii="Arial" w:hAnsi="Arial" w:cs="Arial"/>
              </w:rPr>
              <w:t>P</w:t>
            </w:r>
            <w:r w:rsidRPr="00367D05">
              <w:rPr>
                <w:rFonts w:ascii="Arial" w:hAnsi="Arial" w:cs="Arial"/>
              </w:rPr>
              <w:t xml:space="preserve">rofessional </w:t>
            </w:r>
            <w:r>
              <w:rPr>
                <w:rFonts w:ascii="Arial" w:hAnsi="Arial" w:cs="Arial"/>
              </w:rPr>
              <w:t>S</w:t>
            </w:r>
            <w:r w:rsidRPr="00367D05">
              <w:rPr>
                <w:rFonts w:ascii="Arial" w:hAnsi="Arial" w:cs="Arial"/>
              </w:rPr>
              <w:t>ervice</w:t>
            </w:r>
            <w:r>
              <w:rPr>
                <w:rFonts w:ascii="Arial" w:hAnsi="Arial" w:cs="Arial"/>
              </w:rPr>
              <w:t>s</w:t>
            </w:r>
            <w:r w:rsidRPr="00367D05">
              <w:rPr>
                <w:rFonts w:ascii="Arial" w:hAnsi="Arial" w:cs="Arial"/>
              </w:rPr>
              <w:t xml:space="preserve"> staff.</w:t>
            </w:r>
          </w:p>
          <w:p w14:paraId="2D6B94F6" w14:textId="78EF0151" w:rsidR="00367D05" w:rsidRDefault="00367D05">
            <w:pPr>
              <w:rPr>
                <w:rFonts w:ascii="Arial" w:hAnsi="Arial" w:cs="Arial"/>
              </w:rPr>
            </w:pPr>
          </w:p>
          <w:p w14:paraId="2B1AB8BD" w14:textId="77777777" w:rsidR="00D869EC" w:rsidRDefault="00D869EC">
            <w:pPr>
              <w:rPr>
                <w:rFonts w:ascii="Arial" w:hAnsi="Arial" w:cs="Arial"/>
                <w:u w:val="single"/>
              </w:rPr>
            </w:pPr>
            <w:r w:rsidRPr="00D869EC">
              <w:rPr>
                <w:rFonts w:ascii="Arial" w:hAnsi="Arial" w:cs="Arial"/>
                <w:u w:val="single"/>
              </w:rPr>
              <w:t>Recommendation(s)</w:t>
            </w:r>
          </w:p>
          <w:p w14:paraId="3B2DF1CE" w14:textId="77777777" w:rsidR="00D869EC" w:rsidRDefault="00D869EC">
            <w:pPr>
              <w:rPr>
                <w:rFonts w:ascii="Arial" w:hAnsi="Arial" w:cs="Arial"/>
                <w:u w:val="single"/>
              </w:rPr>
            </w:pPr>
          </w:p>
          <w:p w14:paraId="0616C995" w14:textId="0EBD8532" w:rsidR="00D869EC" w:rsidRPr="00085396" w:rsidRDefault="00085396" w:rsidP="00085396">
            <w:pPr>
              <w:pStyle w:val="ListParagraph"/>
              <w:numPr>
                <w:ilvl w:val="0"/>
                <w:numId w:val="1"/>
              </w:numPr>
              <w:rPr>
                <w:rFonts w:ascii="Arial" w:hAnsi="Arial" w:cs="Arial"/>
              </w:rPr>
            </w:pPr>
            <w:r>
              <w:rPr>
                <w:rFonts w:ascii="Arial" w:hAnsi="Arial" w:cs="Arial"/>
              </w:rPr>
              <w:t xml:space="preserve">Note paper </w:t>
            </w:r>
          </w:p>
        </w:tc>
      </w:tr>
      <w:tr w:rsidR="00C66D43" w:rsidRPr="00230684" w14:paraId="515BBB1F" w14:textId="77777777" w:rsidTr="00543255">
        <w:trPr>
          <w:trHeight w:val="278"/>
        </w:trPr>
        <w:tc>
          <w:tcPr>
            <w:tcW w:w="2547" w:type="dxa"/>
            <w:shd w:val="clear" w:color="auto" w:fill="D5DCE4" w:themeFill="text2" w:themeFillTint="33"/>
            <w:vAlign w:val="center"/>
          </w:tcPr>
          <w:p w14:paraId="3C109DE5" w14:textId="77777777" w:rsidR="00C66D43" w:rsidRPr="00230684" w:rsidRDefault="00230684" w:rsidP="00543255">
            <w:pPr>
              <w:rPr>
                <w:rFonts w:ascii="Arial" w:hAnsi="Arial" w:cs="Arial"/>
                <w:b/>
              </w:rPr>
            </w:pPr>
            <w:r w:rsidRPr="00230684">
              <w:rPr>
                <w:rFonts w:ascii="Arial" w:hAnsi="Arial" w:cs="Arial"/>
                <w:b/>
              </w:rPr>
              <w:t>Action(s) required from the Committee:</w:t>
            </w:r>
          </w:p>
        </w:tc>
        <w:tc>
          <w:tcPr>
            <w:tcW w:w="7081" w:type="dxa"/>
          </w:tcPr>
          <w:p w14:paraId="6486250B" w14:textId="77777777" w:rsidR="00C66D43" w:rsidRDefault="00C66D43" w:rsidP="00543255">
            <w:pPr>
              <w:rPr>
                <w:rFonts w:ascii="Arial" w:hAnsi="Arial" w:cs="Arial"/>
              </w:rPr>
            </w:pPr>
          </w:p>
          <w:p w14:paraId="09480272" w14:textId="59E4D309" w:rsidR="00543255" w:rsidRDefault="00085396" w:rsidP="00543255">
            <w:pPr>
              <w:pStyle w:val="ListParagraph"/>
              <w:numPr>
                <w:ilvl w:val="0"/>
                <w:numId w:val="3"/>
              </w:numPr>
              <w:rPr>
                <w:rFonts w:ascii="Arial" w:hAnsi="Arial" w:cs="Arial"/>
              </w:rPr>
            </w:pPr>
            <w:r>
              <w:rPr>
                <w:rFonts w:ascii="Arial" w:hAnsi="Arial" w:cs="Arial"/>
              </w:rPr>
              <w:t>Note the paper</w:t>
            </w:r>
          </w:p>
          <w:p w14:paraId="482BBF6E" w14:textId="77777777" w:rsidR="00543255" w:rsidRPr="00085396" w:rsidRDefault="00543255" w:rsidP="00367D05">
            <w:pPr>
              <w:pStyle w:val="ListParagraph"/>
              <w:numPr>
                <w:ilvl w:val="0"/>
                <w:numId w:val="3"/>
              </w:numPr>
              <w:rPr>
                <w:rFonts w:ascii="Arial" w:hAnsi="Arial" w:cs="Arial"/>
              </w:rPr>
            </w:pPr>
          </w:p>
        </w:tc>
      </w:tr>
    </w:tbl>
    <w:p w14:paraId="47267E23" w14:textId="77777777" w:rsidR="00C66D43" w:rsidRPr="00230684" w:rsidRDefault="00C66D43">
      <w:pPr>
        <w:rPr>
          <w:rFonts w:ascii="Arial" w:hAnsi="Arial" w:cs="Arial"/>
        </w:rPr>
      </w:pPr>
    </w:p>
    <w:p w14:paraId="2AC1D171" w14:textId="77777777" w:rsidR="00C66D43" w:rsidRPr="00230684" w:rsidRDefault="00C66D43">
      <w:pPr>
        <w:rPr>
          <w:rFonts w:ascii="Arial" w:hAnsi="Arial" w:cs="Arial"/>
        </w:rPr>
      </w:pPr>
      <w:r w:rsidRPr="00230684">
        <w:rPr>
          <w:rFonts w:ascii="Arial" w:hAnsi="Arial" w:cs="Arial"/>
        </w:rPr>
        <w:t xml:space="preserve">The </w:t>
      </w:r>
      <w:r w:rsidR="006A7948">
        <w:rPr>
          <w:rFonts w:ascii="Arial" w:hAnsi="Arial" w:cs="Arial"/>
        </w:rPr>
        <w:t>t</w:t>
      </w:r>
      <w:r w:rsidRPr="00230684">
        <w:rPr>
          <w:rFonts w:ascii="Arial" w:hAnsi="Arial" w:cs="Arial"/>
        </w:rPr>
        <w:t xml:space="preserve">able </w:t>
      </w:r>
      <w:r w:rsidR="006A7948">
        <w:rPr>
          <w:rFonts w:ascii="Arial" w:hAnsi="Arial" w:cs="Arial"/>
        </w:rPr>
        <w:t xml:space="preserve">below </w:t>
      </w:r>
      <w:r w:rsidRPr="00230684">
        <w:rPr>
          <w:rFonts w:ascii="Arial" w:hAnsi="Arial" w:cs="Arial"/>
        </w:rPr>
        <w:t>outlines which committees</w:t>
      </w:r>
      <w:r w:rsidR="006A7948">
        <w:rPr>
          <w:rFonts w:ascii="Arial" w:hAnsi="Arial" w:cs="Arial"/>
        </w:rPr>
        <w:t>/groups</w:t>
      </w:r>
      <w:r w:rsidRPr="00230684">
        <w:rPr>
          <w:rFonts w:ascii="Arial" w:hAnsi="Arial" w:cs="Arial"/>
        </w:rPr>
        <w:t xml:space="preserve"> have already seen the report and the resulting outcome/action from </w:t>
      </w:r>
      <w:r w:rsidR="002600DA">
        <w:rPr>
          <w:rFonts w:ascii="Arial" w:hAnsi="Arial" w:cs="Arial"/>
        </w:rPr>
        <w:t>discussions</w:t>
      </w:r>
      <w:r w:rsidRPr="00230684">
        <w:rPr>
          <w:rFonts w:ascii="Arial" w:hAnsi="Arial" w:cs="Arial"/>
        </w:rPr>
        <w:t>.</w:t>
      </w:r>
    </w:p>
    <w:p w14:paraId="688CB5E3" w14:textId="77777777" w:rsidR="00C66D43" w:rsidRPr="00230684" w:rsidRDefault="00C66D43">
      <w:pPr>
        <w:rPr>
          <w:rFonts w:ascii="Arial" w:hAnsi="Arial" w:cs="Arial"/>
        </w:rPr>
      </w:pPr>
    </w:p>
    <w:tbl>
      <w:tblPr>
        <w:tblStyle w:val="TableGrid"/>
        <w:tblW w:w="0" w:type="auto"/>
        <w:tblLook w:val="04A0" w:firstRow="1" w:lastRow="0" w:firstColumn="1" w:lastColumn="0" w:noHBand="0" w:noVBand="1"/>
      </w:tblPr>
      <w:tblGrid>
        <w:gridCol w:w="1720"/>
        <w:gridCol w:w="1972"/>
        <w:gridCol w:w="2901"/>
        <w:gridCol w:w="1318"/>
        <w:gridCol w:w="1105"/>
      </w:tblGrid>
      <w:tr w:rsidR="00752052" w:rsidRPr="00230684" w14:paraId="5660C59B" w14:textId="77777777" w:rsidTr="00752052">
        <w:trPr>
          <w:trHeight w:val="340"/>
          <w:tblHeader/>
        </w:trPr>
        <w:tc>
          <w:tcPr>
            <w:tcW w:w="1720" w:type="dxa"/>
            <w:shd w:val="clear" w:color="auto" w:fill="D5DCE4" w:themeFill="text2" w:themeFillTint="33"/>
            <w:vAlign w:val="center"/>
          </w:tcPr>
          <w:p w14:paraId="792ABD7F" w14:textId="77777777" w:rsidR="00752052" w:rsidRPr="00230684" w:rsidRDefault="00752052" w:rsidP="00C66D43">
            <w:pPr>
              <w:rPr>
                <w:rFonts w:ascii="Arial" w:hAnsi="Arial" w:cs="Arial"/>
                <w:b/>
              </w:rPr>
            </w:pPr>
            <w:r w:rsidRPr="00230684">
              <w:rPr>
                <w:rFonts w:ascii="Arial" w:hAnsi="Arial" w:cs="Arial"/>
                <w:b/>
              </w:rPr>
              <w:t>Committee date</w:t>
            </w:r>
          </w:p>
        </w:tc>
        <w:tc>
          <w:tcPr>
            <w:tcW w:w="1972" w:type="dxa"/>
            <w:shd w:val="clear" w:color="auto" w:fill="D5DCE4" w:themeFill="text2" w:themeFillTint="33"/>
            <w:vAlign w:val="center"/>
          </w:tcPr>
          <w:p w14:paraId="77B4B0E3" w14:textId="77777777" w:rsidR="00752052" w:rsidRPr="00230684" w:rsidRDefault="00752052" w:rsidP="00C66D43">
            <w:pPr>
              <w:rPr>
                <w:rFonts w:ascii="Arial" w:hAnsi="Arial" w:cs="Arial"/>
                <w:b/>
              </w:rPr>
            </w:pPr>
            <w:r w:rsidRPr="00230684">
              <w:rPr>
                <w:rFonts w:ascii="Arial" w:hAnsi="Arial" w:cs="Arial"/>
                <w:b/>
              </w:rPr>
              <w:t>Committee title</w:t>
            </w:r>
          </w:p>
        </w:tc>
        <w:tc>
          <w:tcPr>
            <w:tcW w:w="2901" w:type="dxa"/>
            <w:shd w:val="clear" w:color="auto" w:fill="D5DCE4" w:themeFill="text2" w:themeFillTint="33"/>
            <w:vAlign w:val="center"/>
          </w:tcPr>
          <w:p w14:paraId="69F2E920" w14:textId="77777777" w:rsidR="00752052" w:rsidRPr="00230684" w:rsidRDefault="00752052" w:rsidP="00C66D43">
            <w:pPr>
              <w:rPr>
                <w:rFonts w:ascii="Arial" w:hAnsi="Arial" w:cs="Arial"/>
                <w:b/>
              </w:rPr>
            </w:pPr>
            <w:r w:rsidRPr="00230684">
              <w:rPr>
                <w:rFonts w:ascii="Arial" w:hAnsi="Arial" w:cs="Arial"/>
                <w:b/>
              </w:rPr>
              <w:t>Outcome/action</w:t>
            </w:r>
          </w:p>
        </w:tc>
        <w:tc>
          <w:tcPr>
            <w:tcW w:w="1318" w:type="dxa"/>
            <w:shd w:val="clear" w:color="auto" w:fill="D5DCE4" w:themeFill="text2" w:themeFillTint="33"/>
            <w:vAlign w:val="center"/>
          </w:tcPr>
          <w:p w14:paraId="26E669C9" w14:textId="77777777" w:rsidR="00752052" w:rsidRPr="00230684" w:rsidRDefault="00752052" w:rsidP="00C66D43">
            <w:pPr>
              <w:rPr>
                <w:rFonts w:ascii="Arial" w:hAnsi="Arial" w:cs="Arial"/>
                <w:b/>
              </w:rPr>
            </w:pPr>
            <w:r w:rsidRPr="00230684">
              <w:rPr>
                <w:rFonts w:ascii="Arial" w:hAnsi="Arial" w:cs="Arial"/>
                <w:b/>
              </w:rPr>
              <w:t>Action date</w:t>
            </w:r>
          </w:p>
        </w:tc>
        <w:tc>
          <w:tcPr>
            <w:tcW w:w="1105" w:type="dxa"/>
            <w:shd w:val="clear" w:color="auto" w:fill="D5DCE4" w:themeFill="text2" w:themeFillTint="33"/>
          </w:tcPr>
          <w:p w14:paraId="707512D7" w14:textId="77777777" w:rsidR="00752052" w:rsidRPr="00230684" w:rsidRDefault="00752052" w:rsidP="00C66D43">
            <w:pPr>
              <w:rPr>
                <w:rFonts w:ascii="Arial" w:hAnsi="Arial" w:cs="Arial"/>
                <w:b/>
              </w:rPr>
            </w:pPr>
            <w:r>
              <w:rPr>
                <w:rFonts w:ascii="Arial" w:hAnsi="Arial" w:cs="Arial"/>
                <w:b/>
              </w:rPr>
              <w:t>Paper version number</w:t>
            </w:r>
          </w:p>
        </w:tc>
      </w:tr>
      <w:tr w:rsidR="00752052" w:rsidRPr="00230684" w14:paraId="10287BAB" w14:textId="77777777" w:rsidTr="00752052">
        <w:tc>
          <w:tcPr>
            <w:tcW w:w="1720" w:type="dxa"/>
          </w:tcPr>
          <w:p w14:paraId="59899CC1" w14:textId="73DCBCBB" w:rsidR="00752052" w:rsidRPr="00230684" w:rsidRDefault="00367D05" w:rsidP="00C66D43">
            <w:pPr>
              <w:jc w:val="center"/>
              <w:rPr>
                <w:rFonts w:ascii="Arial" w:hAnsi="Arial" w:cs="Arial"/>
              </w:rPr>
            </w:pPr>
            <w:r>
              <w:rPr>
                <w:rFonts w:ascii="Arial" w:hAnsi="Arial" w:cs="Arial"/>
              </w:rPr>
              <w:t>19/10/2022</w:t>
            </w:r>
          </w:p>
        </w:tc>
        <w:tc>
          <w:tcPr>
            <w:tcW w:w="1972" w:type="dxa"/>
          </w:tcPr>
          <w:p w14:paraId="0F4F82F7" w14:textId="7436F87F" w:rsidR="00752052" w:rsidRPr="00230684" w:rsidRDefault="00367D05" w:rsidP="00C66D43">
            <w:pPr>
              <w:rPr>
                <w:rFonts w:ascii="Arial" w:hAnsi="Arial" w:cs="Arial"/>
              </w:rPr>
            </w:pPr>
            <w:r>
              <w:rPr>
                <w:rFonts w:ascii="Arial" w:hAnsi="Arial" w:cs="Arial"/>
              </w:rPr>
              <w:t>Senate</w:t>
            </w:r>
          </w:p>
        </w:tc>
        <w:tc>
          <w:tcPr>
            <w:tcW w:w="2901" w:type="dxa"/>
          </w:tcPr>
          <w:p w14:paraId="785FF1F4" w14:textId="0F4671EC" w:rsidR="00752052" w:rsidRPr="00230684" w:rsidRDefault="00367D05" w:rsidP="00C66D43">
            <w:pPr>
              <w:rPr>
                <w:rFonts w:ascii="Arial" w:hAnsi="Arial" w:cs="Arial"/>
              </w:rPr>
            </w:pPr>
            <w:r>
              <w:rPr>
                <w:rFonts w:ascii="Arial" w:hAnsi="Arial" w:cs="Arial"/>
              </w:rPr>
              <w:t>Approved</w:t>
            </w:r>
          </w:p>
        </w:tc>
        <w:tc>
          <w:tcPr>
            <w:tcW w:w="1318" w:type="dxa"/>
          </w:tcPr>
          <w:p w14:paraId="13D20EA3" w14:textId="70DB1FB9" w:rsidR="00752052" w:rsidRPr="00230684" w:rsidRDefault="00367D05" w:rsidP="00C66D43">
            <w:pPr>
              <w:jc w:val="center"/>
              <w:rPr>
                <w:rFonts w:ascii="Arial" w:hAnsi="Arial" w:cs="Arial"/>
              </w:rPr>
            </w:pPr>
            <w:r>
              <w:rPr>
                <w:rFonts w:ascii="Arial" w:hAnsi="Arial" w:cs="Arial"/>
              </w:rPr>
              <w:t>19/10/2022</w:t>
            </w:r>
          </w:p>
        </w:tc>
        <w:tc>
          <w:tcPr>
            <w:tcW w:w="1105" w:type="dxa"/>
          </w:tcPr>
          <w:p w14:paraId="7C883364" w14:textId="215CEACE" w:rsidR="00752052" w:rsidRPr="00230684" w:rsidRDefault="00367D05" w:rsidP="00C66D43">
            <w:pPr>
              <w:jc w:val="center"/>
              <w:rPr>
                <w:rFonts w:ascii="Arial" w:hAnsi="Arial" w:cs="Arial"/>
              </w:rPr>
            </w:pPr>
            <w:r>
              <w:rPr>
                <w:rFonts w:ascii="Arial" w:hAnsi="Arial" w:cs="Arial"/>
              </w:rPr>
              <w:t>1</w:t>
            </w:r>
          </w:p>
        </w:tc>
      </w:tr>
      <w:tr w:rsidR="00752052" w:rsidRPr="00230684" w14:paraId="6A77206A" w14:textId="77777777" w:rsidTr="00752052">
        <w:tc>
          <w:tcPr>
            <w:tcW w:w="1720" w:type="dxa"/>
          </w:tcPr>
          <w:p w14:paraId="7C1CF7CE" w14:textId="77777777" w:rsidR="00752052" w:rsidRPr="00230684" w:rsidRDefault="00752052" w:rsidP="00C66D43">
            <w:pPr>
              <w:rPr>
                <w:rFonts w:ascii="Arial" w:hAnsi="Arial" w:cs="Arial"/>
              </w:rPr>
            </w:pPr>
          </w:p>
        </w:tc>
        <w:tc>
          <w:tcPr>
            <w:tcW w:w="1972" w:type="dxa"/>
          </w:tcPr>
          <w:p w14:paraId="7E5B8BE0" w14:textId="77777777" w:rsidR="00752052" w:rsidRPr="00230684" w:rsidRDefault="00752052" w:rsidP="00C66D43">
            <w:pPr>
              <w:rPr>
                <w:rFonts w:ascii="Arial" w:hAnsi="Arial" w:cs="Arial"/>
              </w:rPr>
            </w:pPr>
          </w:p>
        </w:tc>
        <w:tc>
          <w:tcPr>
            <w:tcW w:w="2901" w:type="dxa"/>
          </w:tcPr>
          <w:p w14:paraId="1911FBE6" w14:textId="77777777" w:rsidR="00752052" w:rsidRPr="00230684" w:rsidRDefault="00752052" w:rsidP="00C66D43">
            <w:pPr>
              <w:rPr>
                <w:rFonts w:ascii="Arial" w:hAnsi="Arial" w:cs="Arial"/>
              </w:rPr>
            </w:pPr>
          </w:p>
        </w:tc>
        <w:tc>
          <w:tcPr>
            <w:tcW w:w="1318" w:type="dxa"/>
          </w:tcPr>
          <w:p w14:paraId="61F97334" w14:textId="77777777" w:rsidR="00752052" w:rsidRPr="00230684" w:rsidRDefault="00752052" w:rsidP="00C66D43">
            <w:pPr>
              <w:jc w:val="center"/>
              <w:rPr>
                <w:rFonts w:ascii="Arial" w:hAnsi="Arial" w:cs="Arial"/>
              </w:rPr>
            </w:pPr>
          </w:p>
        </w:tc>
        <w:tc>
          <w:tcPr>
            <w:tcW w:w="1105" w:type="dxa"/>
          </w:tcPr>
          <w:p w14:paraId="39C58B20" w14:textId="77777777" w:rsidR="00752052" w:rsidRPr="00230684" w:rsidRDefault="00752052" w:rsidP="00C66D43">
            <w:pPr>
              <w:jc w:val="center"/>
              <w:rPr>
                <w:rFonts w:ascii="Arial" w:hAnsi="Arial" w:cs="Arial"/>
              </w:rPr>
            </w:pPr>
          </w:p>
        </w:tc>
      </w:tr>
      <w:tr w:rsidR="00752052" w:rsidRPr="00230684" w14:paraId="31DACF79" w14:textId="77777777" w:rsidTr="00752052">
        <w:tc>
          <w:tcPr>
            <w:tcW w:w="1720" w:type="dxa"/>
          </w:tcPr>
          <w:p w14:paraId="772381E2" w14:textId="77777777" w:rsidR="00752052" w:rsidRPr="00230684" w:rsidRDefault="00752052" w:rsidP="00C66D43">
            <w:pPr>
              <w:rPr>
                <w:rFonts w:ascii="Arial" w:hAnsi="Arial" w:cs="Arial"/>
              </w:rPr>
            </w:pPr>
          </w:p>
        </w:tc>
        <w:tc>
          <w:tcPr>
            <w:tcW w:w="1972" w:type="dxa"/>
          </w:tcPr>
          <w:p w14:paraId="283AB337" w14:textId="77777777" w:rsidR="00752052" w:rsidRPr="00230684" w:rsidRDefault="00752052" w:rsidP="00C66D43">
            <w:pPr>
              <w:rPr>
                <w:rFonts w:ascii="Arial" w:hAnsi="Arial" w:cs="Arial"/>
              </w:rPr>
            </w:pPr>
          </w:p>
        </w:tc>
        <w:tc>
          <w:tcPr>
            <w:tcW w:w="2901" w:type="dxa"/>
          </w:tcPr>
          <w:p w14:paraId="6EF9FF0C" w14:textId="77777777" w:rsidR="00752052" w:rsidRPr="00230684" w:rsidRDefault="00752052" w:rsidP="00C66D43">
            <w:pPr>
              <w:rPr>
                <w:rFonts w:ascii="Arial" w:hAnsi="Arial" w:cs="Arial"/>
              </w:rPr>
            </w:pPr>
          </w:p>
        </w:tc>
        <w:tc>
          <w:tcPr>
            <w:tcW w:w="1318" w:type="dxa"/>
          </w:tcPr>
          <w:p w14:paraId="07BA66CD" w14:textId="77777777" w:rsidR="00752052" w:rsidRPr="00230684" w:rsidRDefault="00752052" w:rsidP="00C66D43">
            <w:pPr>
              <w:jc w:val="center"/>
              <w:rPr>
                <w:rFonts w:ascii="Arial" w:hAnsi="Arial" w:cs="Arial"/>
              </w:rPr>
            </w:pPr>
          </w:p>
        </w:tc>
        <w:tc>
          <w:tcPr>
            <w:tcW w:w="1105" w:type="dxa"/>
          </w:tcPr>
          <w:p w14:paraId="15066845" w14:textId="77777777" w:rsidR="00752052" w:rsidRPr="00230684" w:rsidRDefault="00752052" w:rsidP="00C66D43">
            <w:pPr>
              <w:jc w:val="center"/>
              <w:rPr>
                <w:rFonts w:ascii="Arial" w:hAnsi="Arial" w:cs="Arial"/>
              </w:rPr>
            </w:pPr>
          </w:p>
        </w:tc>
      </w:tr>
    </w:tbl>
    <w:p w14:paraId="32561579" w14:textId="12542B72" w:rsidR="004525C2" w:rsidRDefault="004525C2" w:rsidP="00543255">
      <w:pPr>
        <w:rPr>
          <w:rFonts w:ascii="Arial" w:hAnsi="Arial" w:cs="Arial"/>
        </w:rPr>
      </w:pPr>
    </w:p>
    <w:p w14:paraId="42136711" w14:textId="77777777" w:rsidR="004525C2" w:rsidRDefault="004525C2">
      <w:pPr>
        <w:rPr>
          <w:rFonts w:ascii="Arial" w:hAnsi="Arial" w:cs="Arial"/>
        </w:rPr>
      </w:pPr>
      <w:r>
        <w:rPr>
          <w:rFonts w:ascii="Arial" w:hAnsi="Arial" w:cs="Arial"/>
        </w:rPr>
        <w:br w:type="page"/>
      </w:r>
    </w:p>
    <w:p w14:paraId="62A973B9" w14:textId="77777777" w:rsidR="004525C2" w:rsidRDefault="004525C2" w:rsidP="004525C2">
      <w:pPr>
        <w:rPr>
          <w:rFonts w:ascii="Arial" w:hAnsi="Arial" w:cs="Arial"/>
          <w:b/>
          <w:bCs/>
        </w:rPr>
      </w:pPr>
      <w:r>
        <w:rPr>
          <w:rFonts w:ascii="Arial" w:hAnsi="Arial" w:cs="Arial"/>
          <w:b/>
          <w:bCs/>
        </w:rPr>
        <w:lastRenderedPageBreak/>
        <w:t>Introduction</w:t>
      </w:r>
    </w:p>
    <w:p w14:paraId="0580AF4A" w14:textId="77777777" w:rsidR="004525C2" w:rsidRDefault="004525C2" w:rsidP="004525C2">
      <w:pPr>
        <w:rPr>
          <w:rFonts w:ascii="Arial" w:hAnsi="Arial" w:cs="Arial"/>
        </w:rPr>
      </w:pPr>
    </w:p>
    <w:p w14:paraId="19C977F2" w14:textId="7332F8D3" w:rsidR="004525C2" w:rsidRDefault="004525C2" w:rsidP="004525C2">
      <w:pPr>
        <w:rPr>
          <w:rFonts w:ascii="Arial" w:hAnsi="Arial" w:cs="Arial"/>
        </w:rPr>
      </w:pPr>
      <w:r>
        <w:rPr>
          <w:rFonts w:ascii="Arial" w:hAnsi="Arial" w:cs="Arial"/>
        </w:rPr>
        <w:t>The Office for Students (OfS) is the primary body for regulating academic quality and standards in England. Over the past two years the OfS has consulted significantly on its regulatory structure for quality and standards as set out in the B conditions of the OfS’ regulatory framework. In recent months OfS have published their final proposals for the revised B conditions, and in late September published the data that will be used to make an initial assessment of each institution in relation to quality and standards.</w:t>
      </w:r>
    </w:p>
    <w:p w14:paraId="6186C69B" w14:textId="77777777" w:rsidR="004525C2" w:rsidRDefault="004525C2" w:rsidP="004525C2">
      <w:pPr>
        <w:rPr>
          <w:rFonts w:ascii="Arial" w:hAnsi="Arial" w:cs="Arial"/>
        </w:rPr>
      </w:pPr>
    </w:p>
    <w:p w14:paraId="610B3C6E" w14:textId="0A7E152F" w:rsidR="004525C2" w:rsidRDefault="004525C2" w:rsidP="004525C2">
      <w:pPr>
        <w:rPr>
          <w:rFonts w:ascii="Arial" w:hAnsi="Arial" w:cs="Arial"/>
        </w:rPr>
      </w:pPr>
      <w:r>
        <w:rPr>
          <w:rFonts w:ascii="Arial" w:hAnsi="Arial" w:cs="Arial"/>
        </w:rPr>
        <w:t>The regulatory approach focuses on three mechanisms:</w:t>
      </w:r>
    </w:p>
    <w:p w14:paraId="21FF5CA1" w14:textId="77777777" w:rsidR="004525C2" w:rsidRDefault="004525C2" w:rsidP="004525C2">
      <w:pPr>
        <w:rPr>
          <w:rFonts w:ascii="Arial" w:hAnsi="Arial" w:cs="Arial"/>
        </w:rPr>
      </w:pPr>
    </w:p>
    <w:p w14:paraId="071A26AD" w14:textId="77777777" w:rsidR="004525C2" w:rsidRDefault="004525C2" w:rsidP="004525C2">
      <w:pPr>
        <w:pStyle w:val="ListParagraph"/>
        <w:numPr>
          <w:ilvl w:val="0"/>
          <w:numId w:val="4"/>
        </w:numPr>
        <w:spacing w:after="160" w:line="256" w:lineRule="auto"/>
        <w:rPr>
          <w:rFonts w:ascii="Arial" w:hAnsi="Arial" w:cs="Arial"/>
        </w:rPr>
      </w:pPr>
      <w:r>
        <w:rPr>
          <w:rFonts w:ascii="Arial" w:hAnsi="Arial" w:cs="Arial"/>
        </w:rPr>
        <w:t>Assessment against minimum baseline regulatory requirements that all providers should meet (B3)</w:t>
      </w:r>
    </w:p>
    <w:p w14:paraId="114A5EBE" w14:textId="77777777" w:rsidR="004525C2" w:rsidRDefault="004525C2" w:rsidP="004525C2">
      <w:pPr>
        <w:pStyle w:val="ListParagraph"/>
        <w:numPr>
          <w:ilvl w:val="0"/>
          <w:numId w:val="4"/>
        </w:numPr>
        <w:spacing w:after="160" w:line="256" w:lineRule="auto"/>
        <w:rPr>
          <w:rFonts w:ascii="Arial" w:hAnsi="Arial" w:cs="Arial"/>
        </w:rPr>
      </w:pPr>
      <w:r>
        <w:rPr>
          <w:rFonts w:ascii="Arial" w:hAnsi="Arial" w:cs="Arial"/>
        </w:rPr>
        <w:t>A benchmarked Teaching Excellence Framework (B6)</w:t>
      </w:r>
    </w:p>
    <w:p w14:paraId="6D2152B9" w14:textId="77777777" w:rsidR="004525C2" w:rsidRDefault="004525C2" w:rsidP="004525C2">
      <w:pPr>
        <w:pStyle w:val="ListParagraph"/>
        <w:numPr>
          <w:ilvl w:val="0"/>
          <w:numId w:val="4"/>
        </w:numPr>
        <w:spacing w:after="160" w:line="256" w:lineRule="auto"/>
        <w:rPr>
          <w:rFonts w:ascii="Arial" w:hAnsi="Arial" w:cs="Arial"/>
        </w:rPr>
      </w:pPr>
      <w:r>
        <w:rPr>
          <w:rFonts w:ascii="Arial" w:hAnsi="Arial" w:cs="Arial"/>
        </w:rPr>
        <w:t>Adherence to ongoing quality and standards conditions of registration (B1, B2, B4, B5)</w:t>
      </w:r>
    </w:p>
    <w:p w14:paraId="326F69C9" w14:textId="5C915AF0" w:rsidR="004525C2" w:rsidRDefault="004525C2" w:rsidP="004525C2">
      <w:pPr>
        <w:rPr>
          <w:rFonts w:ascii="Arial" w:hAnsi="Arial" w:cs="Arial"/>
        </w:rPr>
      </w:pPr>
      <w:r>
        <w:rPr>
          <w:rFonts w:ascii="Arial" w:hAnsi="Arial" w:cs="Arial"/>
        </w:rPr>
        <w:t>This paper sets out the context for each of these mechanisms and highlights City’s response and approach to date.</w:t>
      </w:r>
    </w:p>
    <w:p w14:paraId="4F5A89D8" w14:textId="77777777" w:rsidR="004525C2" w:rsidRDefault="004525C2" w:rsidP="004525C2">
      <w:pPr>
        <w:rPr>
          <w:rFonts w:ascii="Arial" w:hAnsi="Arial" w:cs="Arial"/>
        </w:rPr>
      </w:pPr>
    </w:p>
    <w:p w14:paraId="773A111E" w14:textId="77777777" w:rsidR="004525C2" w:rsidRDefault="004525C2" w:rsidP="004525C2">
      <w:pPr>
        <w:rPr>
          <w:rFonts w:ascii="Arial" w:hAnsi="Arial" w:cs="Arial"/>
          <w:b/>
          <w:bCs/>
        </w:rPr>
      </w:pPr>
      <w:r>
        <w:rPr>
          <w:rFonts w:ascii="Arial" w:hAnsi="Arial" w:cs="Arial"/>
          <w:b/>
          <w:bCs/>
        </w:rPr>
        <w:t>Condition B3 – Baseline regulatory requirements</w:t>
      </w:r>
    </w:p>
    <w:p w14:paraId="0EE23C6C" w14:textId="77777777" w:rsidR="004525C2" w:rsidRDefault="004525C2" w:rsidP="004525C2">
      <w:pPr>
        <w:rPr>
          <w:rFonts w:ascii="Arial" w:hAnsi="Arial" w:cs="Arial"/>
          <w:i/>
          <w:iCs/>
        </w:rPr>
      </w:pPr>
    </w:p>
    <w:p w14:paraId="09AFA895" w14:textId="5F670972" w:rsidR="004525C2" w:rsidRDefault="004525C2" w:rsidP="004525C2">
      <w:pPr>
        <w:rPr>
          <w:rFonts w:ascii="Arial" w:hAnsi="Arial" w:cs="Arial"/>
          <w:i/>
          <w:iCs/>
        </w:rPr>
      </w:pPr>
      <w:r>
        <w:rPr>
          <w:rFonts w:ascii="Arial" w:hAnsi="Arial" w:cs="Arial"/>
          <w:i/>
          <w:iCs/>
        </w:rPr>
        <w:t>Context</w:t>
      </w:r>
    </w:p>
    <w:p w14:paraId="3B7DA6FE" w14:textId="77777777" w:rsidR="004525C2" w:rsidRDefault="004525C2" w:rsidP="004525C2">
      <w:pPr>
        <w:rPr>
          <w:rFonts w:ascii="Arial" w:hAnsi="Arial" w:cs="Arial"/>
        </w:rPr>
      </w:pPr>
    </w:p>
    <w:p w14:paraId="32E31932" w14:textId="1834C531" w:rsidR="004525C2" w:rsidRDefault="004525C2" w:rsidP="004525C2">
      <w:pPr>
        <w:rPr>
          <w:rFonts w:ascii="Arial" w:hAnsi="Arial" w:cs="Arial"/>
          <w:b/>
          <w:bCs/>
        </w:rPr>
      </w:pPr>
      <w:r>
        <w:rPr>
          <w:rFonts w:ascii="Arial" w:hAnsi="Arial" w:cs="Arial"/>
        </w:rPr>
        <w:t xml:space="preserve">The overall aim of Condition B3 as stated by the OfS is to establish positive outcomes for students – past, present, and future. Condition B3 is being implemented to set minimum expectations for all student outcomes and to enable the OfS to act where any group of students is perceived as being left behind. </w:t>
      </w:r>
    </w:p>
    <w:p w14:paraId="5D22D1FC" w14:textId="77777777" w:rsidR="004525C2" w:rsidRDefault="004525C2" w:rsidP="004525C2">
      <w:pPr>
        <w:rPr>
          <w:rFonts w:ascii="Arial" w:hAnsi="Arial" w:cs="Arial"/>
        </w:rPr>
      </w:pPr>
    </w:p>
    <w:p w14:paraId="4D4A6E6D" w14:textId="1BDE8DFC" w:rsidR="004525C2" w:rsidRDefault="004525C2" w:rsidP="004525C2">
      <w:pPr>
        <w:rPr>
          <w:rFonts w:ascii="Arial" w:hAnsi="Arial" w:cs="Arial"/>
        </w:rPr>
      </w:pPr>
      <w:r>
        <w:rPr>
          <w:rFonts w:ascii="Arial" w:hAnsi="Arial" w:cs="Arial"/>
        </w:rPr>
        <w:t>This is being done in two broad steps:</w:t>
      </w:r>
    </w:p>
    <w:p w14:paraId="43F9C36E" w14:textId="77777777" w:rsidR="004525C2" w:rsidRDefault="004525C2" w:rsidP="004525C2">
      <w:pPr>
        <w:rPr>
          <w:rFonts w:ascii="Arial" w:hAnsi="Arial" w:cs="Arial"/>
        </w:rPr>
      </w:pPr>
    </w:p>
    <w:p w14:paraId="3B7B2E94" w14:textId="77777777" w:rsidR="004525C2" w:rsidRDefault="004525C2" w:rsidP="004525C2">
      <w:pPr>
        <w:pStyle w:val="ListParagraph"/>
        <w:numPr>
          <w:ilvl w:val="0"/>
          <w:numId w:val="12"/>
        </w:numPr>
        <w:spacing w:after="160" w:line="256" w:lineRule="auto"/>
        <w:rPr>
          <w:rFonts w:ascii="Arial" w:hAnsi="Arial" w:cs="Arial"/>
        </w:rPr>
      </w:pPr>
      <w:r>
        <w:rPr>
          <w:rFonts w:ascii="Arial" w:hAnsi="Arial" w:cs="Arial"/>
        </w:rPr>
        <w:t>Initially the OfS will determine whether a provider’s outcomes are at or above specific numerical thresholds, and then</w:t>
      </w:r>
    </w:p>
    <w:p w14:paraId="7FB6BB94" w14:textId="77777777" w:rsidR="004525C2" w:rsidRDefault="004525C2" w:rsidP="004525C2">
      <w:pPr>
        <w:pStyle w:val="ListParagraph"/>
        <w:numPr>
          <w:ilvl w:val="0"/>
          <w:numId w:val="12"/>
        </w:numPr>
        <w:spacing w:after="160" w:line="256" w:lineRule="auto"/>
        <w:rPr>
          <w:rFonts w:ascii="Arial" w:hAnsi="Arial" w:cs="Arial"/>
        </w:rPr>
      </w:pPr>
      <w:r>
        <w:rPr>
          <w:rFonts w:ascii="Arial" w:hAnsi="Arial" w:cs="Arial"/>
        </w:rPr>
        <w:t xml:space="preserve">If a provider’s outcomes are judged to be below these numerical thresholds, the OfS will consider if a provider’s context justifies the outcomes. They will also consider potential other issues and statistical uncertainty including where they do not hold sufficient data, or the data refers to fewer than the minimum number of students. </w:t>
      </w:r>
    </w:p>
    <w:p w14:paraId="20471879" w14:textId="5FCB265B" w:rsidR="004525C2" w:rsidRDefault="004525C2" w:rsidP="004525C2">
      <w:pPr>
        <w:rPr>
          <w:rFonts w:ascii="Arial" w:hAnsi="Arial" w:cs="Arial"/>
        </w:rPr>
      </w:pPr>
      <w:r>
        <w:rPr>
          <w:rFonts w:ascii="Arial" w:hAnsi="Arial" w:cs="Arial"/>
        </w:rPr>
        <w:t xml:space="preserve">Numerical thresholds have been calculated by reference to sector-wide performance. These provide indications of the minimum level of performance that, in the view of OfS, students from all backgrounds should generally expect each provider to deliver. The data specifically focuses on </w:t>
      </w:r>
      <w:r>
        <w:rPr>
          <w:rFonts w:ascii="Arial" w:hAnsi="Arial" w:cs="Arial"/>
          <w:b/>
          <w:bCs/>
        </w:rPr>
        <w:t>continuation</w:t>
      </w:r>
      <w:r>
        <w:rPr>
          <w:rFonts w:ascii="Arial" w:hAnsi="Arial" w:cs="Arial"/>
        </w:rPr>
        <w:t xml:space="preserve">, </w:t>
      </w:r>
      <w:r>
        <w:rPr>
          <w:rFonts w:ascii="Arial" w:hAnsi="Arial" w:cs="Arial"/>
          <w:b/>
          <w:bCs/>
        </w:rPr>
        <w:t>completion</w:t>
      </w:r>
      <w:r>
        <w:rPr>
          <w:rFonts w:ascii="Arial" w:hAnsi="Arial" w:cs="Arial"/>
        </w:rPr>
        <w:t xml:space="preserve">, and </w:t>
      </w:r>
      <w:r>
        <w:rPr>
          <w:rFonts w:ascii="Arial" w:hAnsi="Arial" w:cs="Arial"/>
          <w:b/>
          <w:bCs/>
        </w:rPr>
        <w:t>progression</w:t>
      </w:r>
      <w:r>
        <w:rPr>
          <w:rFonts w:ascii="Arial" w:hAnsi="Arial" w:cs="Arial"/>
        </w:rPr>
        <w:t xml:space="preserve"> as defined below: </w:t>
      </w:r>
    </w:p>
    <w:p w14:paraId="0F8B5145" w14:textId="77777777" w:rsidR="004525C2" w:rsidRDefault="004525C2" w:rsidP="004525C2">
      <w:pPr>
        <w:rPr>
          <w:rFonts w:ascii="Arial" w:hAnsi="Arial" w:cs="Arial"/>
        </w:rPr>
      </w:pPr>
    </w:p>
    <w:p w14:paraId="6282AF99" w14:textId="77777777" w:rsidR="004525C2" w:rsidRDefault="004525C2" w:rsidP="004525C2">
      <w:pPr>
        <w:pStyle w:val="ListParagraph"/>
        <w:numPr>
          <w:ilvl w:val="0"/>
          <w:numId w:val="6"/>
        </w:numPr>
        <w:spacing w:after="160" w:line="256" w:lineRule="auto"/>
        <w:rPr>
          <w:rFonts w:ascii="Arial" w:hAnsi="Arial" w:cs="Arial"/>
          <w:b/>
          <w:bCs/>
        </w:rPr>
      </w:pPr>
      <w:r>
        <w:rPr>
          <w:rFonts w:ascii="Arial" w:hAnsi="Arial" w:cs="Arial"/>
          <w:b/>
          <w:bCs/>
        </w:rPr>
        <w:t xml:space="preserve">Continuation: </w:t>
      </w:r>
      <w:r>
        <w:rPr>
          <w:rFonts w:ascii="Arial" w:hAnsi="Arial" w:cs="Arial"/>
        </w:rPr>
        <w:t>the percentage of students that were observed to be continuing in the study of a higher education qualification (or have gained a qualification) one year and 15 days after they started their course (two years and 15 days for part-time students).</w:t>
      </w:r>
    </w:p>
    <w:p w14:paraId="4A977206" w14:textId="77777777" w:rsidR="004525C2" w:rsidRDefault="004525C2" w:rsidP="004525C2">
      <w:pPr>
        <w:pStyle w:val="ListParagraph"/>
        <w:numPr>
          <w:ilvl w:val="0"/>
          <w:numId w:val="6"/>
        </w:numPr>
        <w:spacing w:after="160" w:line="256" w:lineRule="auto"/>
        <w:rPr>
          <w:rFonts w:ascii="Arial" w:hAnsi="Arial" w:cs="Arial"/>
        </w:rPr>
      </w:pPr>
      <w:r>
        <w:rPr>
          <w:rFonts w:ascii="Arial" w:hAnsi="Arial" w:cs="Arial"/>
          <w:b/>
          <w:bCs/>
        </w:rPr>
        <w:t xml:space="preserve">Completion: </w:t>
      </w:r>
      <w:r>
        <w:rPr>
          <w:rFonts w:ascii="Arial" w:hAnsi="Arial" w:cs="Arial"/>
        </w:rPr>
        <w:t>the percentage of students that complete a higher education qualification.</w:t>
      </w:r>
      <w:r>
        <w:t xml:space="preserve"> </w:t>
      </w:r>
      <w:r>
        <w:rPr>
          <w:rFonts w:ascii="Arial" w:hAnsi="Arial" w:cs="Arial"/>
        </w:rPr>
        <w:t>This is constructed using a cohort-tracking measure based on actual</w:t>
      </w:r>
    </w:p>
    <w:p w14:paraId="2EFE2A2C" w14:textId="77777777" w:rsidR="004525C2" w:rsidRDefault="004525C2" w:rsidP="004525C2">
      <w:pPr>
        <w:pStyle w:val="ListParagraph"/>
        <w:rPr>
          <w:rFonts w:ascii="Arial" w:hAnsi="Arial" w:cs="Arial"/>
          <w:b/>
          <w:bCs/>
        </w:rPr>
      </w:pPr>
      <w:r>
        <w:rPr>
          <w:rFonts w:ascii="Arial" w:hAnsi="Arial" w:cs="Arial"/>
        </w:rPr>
        <w:t xml:space="preserve">(but lagged) values. </w:t>
      </w:r>
    </w:p>
    <w:p w14:paraId="67A4933A" w14:textId="218A91C8" w:rsidR="004525C2" w:rsidRPr="004525C2" w:rsidRDefault="004525C2" w:rsidP="004525C2">
      <w:pPr>
        <w:pStyle w:val="ListParagraph"/>
        <w:numPr>
          <w:ilvl w:val="0"/>
          <w:numId w:val="6"/>
        </w:numPr>
        <w:spacing w:after="160" w:line="256" w:lineRule="auto"/>
        <w:rPr>
          <w:rFonts w:ascii="Arial" w:hAnsi="Arial" w:cs="Arial"/>
          <w:b/>
          <w:bCs/>
        </w:rPr>
      </w:pPr>
      <w:r>
        <w:rPr>
          <w:rFonts w:ascii="Arial" w:hAnsi="Arial" w:cs="Arial"/>
          <w:b/>
          <w:bCs/>
        </w:rPr>
        <w:t xml:space="preserve">Progression: </w:t>
      </w:r>
      <w:r>
        <w:rPr>
          <w:rFonts w:ascii="Arial" w:hAnsi="Arial" w:cs="Arial"/>
        </w:rPr>
        <w:t>a measure of progression constructed from the Graduate Outcomes (GO) survey data that reports progression to managerial or professional employment, or further study, 15 months after a higher education qualification has been awarded.</w:t>
      </w:r>
    </w:p>
    <w:p w14:paraId="5C07771A" w14:textId="77777777" w:rsidR="004525C2" w:rsidRPr="004525C2" w:rsidRDefault="004525C2" w:rsidP="004525C2">
      <w:pPr>
        <w:spacing w:after="160" w:line="256" w:lineRule="auto"/>
        <w:rPr>
          <w:rFonts w:ascii="Arial" w:hAnsi="Arial" w:cs="Arial"/>
          <w:b/>
          <w:bCs/>
        </w:rPr>
      </w:pPr>
    </w:p>
    <w:p w14:paraId="2FB10F95" w14:textId="77777777" w:rsidR="004525C2" w:rsidRDefault="004525C2" w:rsidP="004525C2">
      <w:pPr>
        <w:rPr>
          <w:rFonts w:ascii="Arial" w:hAnsi="Arial" w:cs="Arial"/>
        </w:rPr>
      </w:pPr>
      <w:r>
        <w:rPr>
          <w:rFonts w:ascii="Arial" w:hAnsi="Arial" w:cs="Arial"/>
        </w:rPr>
        <w:lastRenderedPageBreak/>
        <w:t xml:space="preserve">The OfS has used existing HESA (now part of Jisc) and ESFA data, using indicators constructed from individual student data, and has considered absolute performance over a four-year period in relation to a range of student outcome indicators. </w:t>
      </w:r>
    </w:p>
    <w:p w14:paraId="768FEC2D" w14:textId="77777777" w:rsidR="004525C2" w:rsidRDefault="004525C2" w:rsidP="004525C2">
      <w:pPr>
        <w:rPr>
          <w:rFonts w:ascii="Arial" w:hAnsi="Arial" w:cs="Arial"/>
        </w:rPr>
      </w:pPr>
    </w:p>
    <w:p w14:paraId="36AF961B" w14:textId="580C9A7F" w:rsidR="004525C2" w:rsidRDefault="004525C2" w:rsidP="004525C2">
      <w:pPr>
        <w:rPr>
          <w:rFonts w:ascii="Arial" w:hAnsi="Arial" w:cs="Arial"/>
        </w:rPr>
      </w:pPr>
      <w:r>
        <w:rPr>
          <w:rFonts w:ascii="Arial" w:hAnsi="Arial" w:cs="Arial"/>
        </w:rPr>
        <w:t xml:space="preserve">More detail can be found from here: </w:t>
      </w:r>
      <w:hyperlink r:id="rId7" w:history="1">
        <w:r>
          <w:rPr>
            <w:rStyle w:val="Hyperlink"/>
            <w:rFonts w:ascii="Arial" w:hAnsi="Arial" w:cs="Arial"/>
          </w:rPr>
          <w:t>OfS sets new expectations for student outcomes - Office for Students</w:t>
        </w:r>
      </w:hyperlink>
      <w:r>
        <w:rPr>
          <w:rFonts w:ascii="Arial" w:hAnsi="Arial" w:cs="Arial"/>
        </w:rPr>
        <w:t xml:space="preserve"> and </w:t>
      </w:r>
      <w:hyperlink r:id="rId8" w:history="1">
        <w:r>
          <w:rPr>
            <w:rStyle w:val="Hyperlink"/>
            <w:rFonts w:ascii="Arial" w:hAnsi="Arial" w:cs="Arial"/>
          </w:rPr>
          <w:t>regulating-student-outcomes-analysis-of-responses-reformatted.pdf (officeforstudents.org.uk)</w:t>
        </w:r>
      </w:hyperlink>
    </w:p>
    <w:p w14:paraId="489F28EC" w14:textId="77777777" w:rsidR="004525C2" w:rsidRDefault="004525C2" w:rsidP="004525C2">
      <w:pPr>
        <w:rPr>
          <w:rFonts w:ascii="Arial" w:hAnsi="Arial" w:cs="Arial"/>
          <w:i/>
          <w:iCs/>
        </w:rPr>
      </w:pPr>
    </w:p>
    <w:p w14:paraId="091E4E86" w14:textId="0A6465B9" w:rsidR="004525C2" w:rsidRDefault="004525C2" w:rsidP="004525C2">
      <w:pPr>
        <w:rPr>
          <w:rFonts w:ascii="Arial" w:hAnsi="Arial" w:cs="Arial"/>
          <w:i/>
          <w:iCs/>
        </w:rPr>
      </w:pPr>
      <w:r>
        <w:rPr>
          <w:rFonts w:ascii="Arial" w:hAnsi="Arial" w:cs="Arial"/>
          <w:i/>
          <w:iCs/>
        </w:rPr>
        <w:t>City response</w:t>
      </w:r>
    </w:p>
    <w:p w14:paraId="018019E1" w14:textId="77777777" w:rsidR="004525C2" w:rsidRDefault="004525C2" w:rsidP="004525C2">
      <w:pPr>
        <w:rPr>
          <w:rFonts w:ascii="Arial" w:hAnsi="Arial" w:cs="Arial"/>
        </w:rPr>
      </w:pPr>
    </w:p>
    <w:p w14:paraId="6AB70D72" w14:textId="2A6D866F" w:rsidR="004525C2" w:rsidRDefault="004525C2" w:rsidP="004525C2">
      <w:pPr>
        <w:rPr>
          <w:rFonts w:ascii="Arial" w:hAnsi="Arial" w:cs="Arial"/>
        </w:rPr>
      </w:pPr>
      <w:r>
        <w:rPr>
          <w:rFonts w:ascii="Arial" w:hAnsi="Arial" w:cs="Arial"/>
        </w:rPr>
        <w:t>OfS has published data that will inform their decisions as to when to intervene. City’s top-level data is as follows:</w:t>
      </w:r>
    </w:p>
    <w:p w14:paraId="46CB24EB" w14:textId="77777777" w:rsidR="004525C2" w:rsidRDefault="004525C2" w:rsidP="004525C2">
      <w:pPr>
        <w:rPr>
          <w:rFonts w:ascii="Arial" w:hAnsi="Arial" w:cs="Arial"/>
        </w:rPr>
      </w:pPr>
    </w:p>
    <w:p w14:paraId="0B8BB30C" w14:textId="7A54337B" w:rsidR="004525C2" w:rsidRDefault="004525C2" w:rsidP="004525C2">
      <w:pPr>
        <w:rPr>
          <w:rFonts w:ascii="Arial" w:hAnsi="Arial" w:cs="Arial"/>
        </w:rPr>
      </w:pPr>
      <w:r>
        <w:rPr>
          <w:rFonts w:ascii="Arial" w:hAnsi="Arial" w:cs="Arial"/>
          <w:noProof/>
        </w:rPr>
        <w:drawing>
          <wp:inline distT="0" distB="0" distL="0" distR="0" wp14:anchorId="1505FA50" wp14:editId="4672CDF3">
            <wp:extent cx="5327650" cy="2863850"/>
            <wp:effectExtent l="0" t="0" r="6350" b="0"/>
            <wp:docPr id="5" name="Picture 5"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t, waterfall char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0" cy="2863850"/>
                    </a:xfrm>
                    <a:prstGeom prst="rect">
                      <a:avLst/>
                    </a:prstGeom>
                    <a:noFill/>
                    <a:ln>
                      <a:noFill/>
                    </a:ln>
                  </pic:spPr>
                </pic:pic>
              </a:graphicData>
            </a:graphic>
          </wp:inline>
        </w:drawing>
      </w:r>
    </w:p>
    <w:p w14:paraId="0B47F19E" w14:textId="77777777" w:rsidR="004525C2" w:rsidRDefault="004525C2" w:rsidP="004525C2">
      <w:pPr>
        <w:rPr>
          <w:rFonts w:ascii="Arial" w:hAnsi="Arial" w:cs="Arial"/>
        </w:rPr>
      </w:pPr>
    </w:p>
    <w:p w14:paraId="096084AA" w14:textId="620CFEA8" w:rsidR="004525C2" w:rsidRDefault="004525C2" w:rsidP="004525C2">
      <w:pPr>
        <w:rPr>
          <w:rFonts w:ascii="Arial" w:hAnsi="Arial" w:cs="Arial"/>
        </w:rPr>
      </w:pPr>
      <w:r>
        <w:rPr>
          <w:rFonts w:ascii="Arial" w:hAnsi="Arial" w:cs="Arial"/>
          <w:noProof/>
        </w:rPr>
        <w:drawing>
          <wp:inline distT="0" distB="0" distL="0" distR="0" wp14:anchorId="216082FD" wp14:editId="1AD59ED4">
            <wp:extent cx="5308600" cy="2660650"/>
            <wp:effectExtent l="0" t="0" r="6350" b="6350"/>
            <wp:docPr id="4" name="Picture 4"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waterfall char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08600" cy="2660650"/>
                    </a:xfrm>
                    <a:prstGeom prst="rect">
                      <a:avLst/>
                    </a:prstGeom>
                    <a:noFill/>
                    <a:ln>
                      <a:noFill/>
                    </a:ln>
                  </pic:spPr>
                </pic:pic>
              </a:graphicData>
            </a:graphic>
          </wp:inline>
        </w:drawing>
      </w:r>
    </w:p>
    <w:p w14:paraId="27925F14" w14:textId="77777777" w:rsidR="004525C2" w:rsidRDefault="004525C2" w:rsidP="004525C2">
      <w:pPr>
        <w:rPr>
          <w:rFonts w:ascii="Arial" w:hAnsi="Arial" w:cs="Arial"/>
        </w:rPr>
      </w:pPr>
    </w:p>
    <w:p w14:paraId="56CE352A" w14:textId="49B73D27" w:rsidR="004525C2" w:rsidRDefault="004525C2" w:rsidP="004525C2">
      <w:pPr>
        <w:rPr>
          <w:rFonts w:ascii="Arial" w:hAnsi="Arial" w:cs="Arial"/>
        </w:rPr>
      </w:pPr>
      <w:r>
        <w:rPr>
          <w:rFonts w:ascii="Arial" w:hAnsi="Arial" w:cs="Arial"/>
          <w:noProof/>
        </w:rPr>
        <w:lastRenderedPageBreak/>
        <w:drawing>
          <wp:inline distT="0" distB="0" distL="0" distR="0" wp14:anchorId="0E8DF908" wp14:editId="0ABE8314">
            <wp:extent cx="5264150" cy="2825750"/>
            <wp:effectExtent l="0" t="0" r="0" b="0"/>
            <wp:docPr id="3" name="Picture 3"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waterfall ch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r="6123"/>
                    <a:stretch>
                      <a:fillRect/>
                    </a:stretch>
                  </pic:blipFill>
                  <pic:spPr bwMode="auto">
                    <a:xfrm>
                      <a:off x="0" y="0"/>
                      <a:ext cx="5264150" cy="2825750"/>
                    </a:xfrm>
                    <a:prstGeom prst="rect">
                      <a:avLst/>
                    </a:prstGeom>
                    <a:noFill/>
                    <a:ln>
                      <a:noFill/>
                    </a:ln>
                  </pic:spPr>
                </pic:pic>
              </a:graphicData>
            </a:graphic>
          </wp:inline>
        </w:drawing>
      </w:r>
    </w:p>
    <w:p w14:paraId="4CAB0E65" w14:textId="77777777" w:rsidR="004525C2" w:rsidRDefault="004525C2" w:rsidP="004525C2">
      <w:pPr>
        <w:rPr>
          <w:rFonts w:ascii="Arial" w:hAnsi="Arial" w:cs="Arial"/>
        </w:rPr>
      </w:pPr>
    </w:p>
    <w:p w14:paraId="09BF386D" w14:textId="77777777" w:rsidR="004525C2" w:rsidRDefault="004525C2" w:rsidP="004525C2">
      <w:pPr>
        <w:rPr>
          <w:rFonts w:ascii="Arial" w:hAnsi="Arial" w:cs="Arial"/>
        </w:rPr>
      </w:pPr>
    </w:p>
    <w:p w14:paraId="3FDA6A12" w14:textId="601F1F8E" w:rsidR="004525C2" w:rsidRDefault="004525C2" w:rsidP="004525C2">
      <w:pPr>
        <w:rPr>
          <w:rFonts w:ascii="Arial" w:hAnsi="Arial" w:cs="Arial"/>
        </w:rPr>
      </w:pPr>
      <w:r>
        <w:rPr>
          <w:rFonts w:ascii="Arial" w:hAnsi="Arial" w:cs="Arial"/>
        </w:rPr>
        <w:t xml:space="preserve">The vast majority of the data is above the threshold so it is unlikely that City will receive an intervention in the near future, although OfS have indicated the majority of interventions for the academic year 2022-23 will be October to December 2022. </w:t>
      </w:r>
    </w:p>
    <w:p w14:paraId="1C9E658C" w14:textId="77777777" w:rsidR="004525C2" w:rsidRDefault="004525C2" w:rsidP="004525C2">
      <w:pPr>
        <w:rPr>
          <w:rFonts w:ascii="Arial" w:hAnsi="Arial" w:cs="Arial"/>
        </w:rPr>
      </w:pPr>
    </w:p>
    <w:p w14:paraId="3923F7E6" w14:textId="250A7104" w:rsidR="004525C2" w:rsidRDefault="004525C2" w:rsidP="004525C2">
      <w:pPr>
        <w:rPr>
          <w:rFonts w:ascii="Arial" w:hAnsi="Arial" w:cs="Arial"/>
        </w:rPr>
      </w:pPr>
      <w:r>
        <w:rPr>
          <w:rFonts w:ascii="Arial" w:hAnsi="Arial" w:cs="Arial"/>
        </w:rPr>
        <w:t>Longer term, in order to robustly reflect on the B3 data, a new section regarding ‘Condition B3 Student Outcomes’ has now been included within the UG and PGT annual programme evaluation (APE) forms, with the intention also to develop a process centrally to identify where City may potentially expect interventions in the future.</w:t>
      </w:r>
    </w:p>
    <w:p w14:paraId="33EA17B5" w14:textId="77777777" w:rsidR="004525C2" w:rsidRDefault="004525C2" w:rsidP="004525C2">
      <w:pPr>
        <w:rPr>
          <w:rFonts w:ascii="Arial" w:hAnsi="Arial" w:cs="Arial"/>
        </w:rPr>
      </w:pPr>
    </w:p>
    <w:p w14:paraId="369C5CD6" w14:textId="77777777" w:rsidR="004525C2" w:rsidRDefault="004525C2" w:rsidP="004525C2">
      <w:pPr>
        <w:rPr>
          <w:rFonts w:ascii="Arial" w:hAnsi="Arial" w:cs="Arial"/>
          <w:b/>
          <w:bCs/>
        </w:rPr>
      </w:pPr>
      <w:r>
        <w:rPr>
          <w:rFonts w:ascii="Arial" w:hAnsi="Arial" w:cs="Arial"/>
          <w:b/>
          <w:bCs/>
        </w:rPr>
        <w:t>Condition B6 – Teaching Excellence Framework</w:t>
      </w:r>
    </w:p>
    <w:p w14:paraId="39C1FBCB" w14:textId="77777777" w:rsidR="004525C2" w:rsidRDefault="004525C2" w:rsidP="004525C2">
      <w:pPr>
        <w:rPr>
          <w:rFonts w:ascii="Arial" w:hAnsi="Arial" w:cs="Arial"/>
          <w:i/>
          <w:iCs/>
        </w:rPr>
      </w:pPr>
    </w:p>
    <w:p w14:paraId="27A24EAB" w14:textId="03AA5D17" w:rsidR="004525C2" w:rsidRDefault="004525C2" w:rsidP="004525C2">
      <w:pPr>
        <w:rPr>
          <w:rFonts w:ascii="Arial" w:hAnsi="Arial" w:cs="Arial"/>
          <w:i/>
          <w:iCs/>
        </w:rPr>
      </w:pPr>
      <w:r>
        <w:rPr>
          <w:rFonts w:ascii="Arial" w:hAnsi="Arial" w:cs="Arial"/>
          <w:i/>
          <w:iCs/>
        </w:rPr>
        <w:t>Context</w:t>
      </w:r>
    </w:p>
    <w:p w14:paraId="3BECE233" w14:textId="77777777" w:rsidR="004525C2" w:rsidRDefault="004525C2" w:rsidP="004525C2">
      <w:pPr>
        <w:rPr>
          <w:rFonts w:ascii="Arial" w:hAnsi="Arial" w:cs="Arial"/>
        </w:rPr>
      </w:pPr>
    </w:p>
    <w:p w14:paraId="4D6418DF" w14:textId="7F4F6116" w:rsidR="004525C2" w:rsidRDefault="004525C2" w:rsidP="004525C2">
      <w:pPr>
        <w:rPr>
          <w:rFonts w:ascii="Arial" w:hAnsi="Arial" w:cs="Arial"/>
        </w:rPr>
      </w:pPr>
      <w:r>
        <w:rPr>
          <w:rFonts w:ascii="Arial" w:hAnsi="Arial" w:cs="Arial"/>
        </w:rPr>
        <w:t>The OfS has developed a new approach to the Teaching Excellence Framework (TEF). The TEF is at Provider-Level only and is based on two criteria:</w:t>
      </w:r>
    </w:p>
    <w:p w14:paraId="5F7F45C4" w14:textId="77777777" w:rsidR="004525C2" w:rsidRDefault="004525C2" w:rsidP="004525C2">
      <w:pPr>
        <w:rPr>
          <w:rFonts w:ascii="Arial" w:hAnsi="Arial" w:cs="Arial"/>
        </w:rPr>
      </w:pPr>
    </w:p>
    <w:p w14:paraId="141B1162" w14:textId="77777777" w:rsidR="004525C2" w:rsidRDefault="004525C2" w:rsidP="004525C2">
      <w:pPr>
        <w:pStyle w:val="ListParagraph"/>
        <w:numPr>
          <w:ilvl w:val="0"/>
          <w:numId w:val="7"/>
        </w:numPr>
        <w:spacing w:after="160" w:line="256" w:lineRule="auto"/>
        <w:rPr>
          <w:rFonts w:ascii="Arial" w:hAnsi="Arial" w:cs="Arial"/>
        </w:rPr>
      </w:pPr>
      <w:r>
        <w:rPr>
          <w:rFonts w:ascii="Arial" w:hAnsi="Arial" w:cs="Arial"/>
          <w:b/>
          <w:bCs/>
        </w:rPr>
        <w:t>‘Student Experience’</w:t>
      </w:r>
      <w:r>
        <w:rPr>
          <w:rFonts w:ascii="Arial" w:hAnsi="Arial" w:cs="Arial"/>
        </w:rPr>
        <w:t xml:space="preserve"> which focuses on the provider’s teaching, learning and assessment (these indicators are based on the NSS)</w:t>
      </w:r>
    </w:p>
    <w:p w14:paraId="6D76A56E" w14:textId="77777777" w:rsidR="004525C2" w:rsidRDefault="004525C2" w:rsidP="004525C2">
      <w:pPr>
        <w:pStyle w:val="ListParagraph"/>
        <w:numPr>
          <w:ilvl w:val="0"/>
          <w:numId w:val="7"/>
        </w:numPr>
        <w:spacing w:after="160" w:line="256" w:lineRule="auto"/>
        <w:rPr>
          <w:rFonts w:ascii="Arial" w:hAnsi="Arial" w:cs="Arial"/>
        </w:rPr>
      </w:pPr>
      <w:r>
        <w:rPr>
          <w:rFonts w:ascii="Arial" w:hAnsi="Arial" w:cs="Arial"/>
          <w:b/>
          <w:bCs/>
        </w:rPr>
        <w:t>‘Student Outcomes’</w:t>
      </w:r>
      <w:r>
        <w:rPr>
          <w:rFonts w:ascii="Arial" w:hAnsi="Arial" w:cs="Arial"/>
        </w:rPr>
        <w:t xml:space="preserve"> which focuses on the extent to which students succeed in and beyond their studies. These outcome measures are the same as those used for B3 above.</w:t>
      </w:r>
    </w:p>
    <w:p w14:paraId="7BB55C14" w14:textId="30A45B94" w:rsidR="004525C2" w:rsidRDefault="004525C2" w:rsidP="004525C2">
      <w:pPr>
        <w:rPr>
          <w:rFonts w:ascii="Arial" w:hAnsi="Arial" w:cs="Arial"/>
        </w:rPr>
      </w:pPr>
      <w:r>
        <w:rPr>
          <w:rFonts w:ascii="Arial" w:hAnsi="Arial" w:cs="Arial"/>
        </w:rPr>
        <w:t>The assessment process behind the awards is based on a mix of qualitative and quantitative evidence including:</w:t>
      </w:r>
    </w:p>
    <w:p w14:paraId="2C59FB68" w14:textId="77777777" w:rsidR="004525C2" w:rsidRDefault="004525C2" w:rsidP="004525C2">
      <w:pPr>
        <w:rPr>
          <w:rFonts w:ascii="Arial" w:hAnsi="Arial" w:cs="Arial"/>
        </w:rPr>
      </w:pPr>
    </w:p>
    <w:p w14:paraId="779A537D" w14:textId="77777777" w:rsidR="004525C2" w:rsidRDefault="004525C2" w:rsidP="004525C2">
      <w:pPr>
        <w:pStyle w:val="ListParagraph"/>
        <w:numPr>
          <w:ilvl w:val="0"/>
          <w:numId w:val="8"/>
        </w:numPr>
        <w:spacing w:after="160" w:line="256" w:lineRule="auto"/>
        <w:rPr>
          <w:rFonts w:ascii="Arial" w:hAnsi="Arial" w:cs="Arial"/>
          <w:b/>
          <w:bCs/>
        </w:rPr>
      </w:pPr>
      <w:r>
        <w:rPr>
          <w:rFonts w:ascii="Arial" w:hAnsi="Arial" w:cs="Arial"/>
          <w:b/>
          <w:bCs/>
        </w:rPr>
        <w:t>A provider submission</w:t>
      </w:r>
    </w:p>
    <w:p w14:paraId="7681D5B9" w14:textId="77777777" w:rsidR="004525C2" w:rsidRDefault="004525C2" w:rsidP="004525C2">
      <w:pPr>
        <w:pStyle w:val="ListParagraph"/>
        <w:numPr>
          <w:ilvl w:val="0"/>
          <w:numId w:val="8"/>
        </w:numPr>
        <w:spacing w:after="160" w:line="256" w:lineRule="auto"/>
        <w:rPr>
          <w:rFonts w:ascii="Arial" w:hAnsi="Arial" w:cs="Arial"/>
          <w:b/>
          <w:bCs/>
        </w:rPr>
      </w:pPr>
      <w:r>
        <w:rPr>
          <w:rFonts w:ascii="Arial" w:hAnsi="Arial" w:cs="Arial"/>
          <w:b/>
          <w:bCs/>
        </w:rPr>
        <w:t xml:space="preserve">An independent student submission </w:t>
      </w:r>
    </w:p>
    <w:p w14:paraId="6DF10906" w14:textId="77777777" w:rsidR="004525C2" w:rsidRDefault="004525C2" w:rsidP="004525C2">
      <w:pPr>
        <w:pStyle w:val="ListParagraph"/>
        <w:numPr>
          <w:ilvl w:val="0"/>
          <w:numId w:val="8"/>
        </w:numPr>
        <w:spacing w:after="160" w:line="256" w:lineRule="auto"/>
        <w:rPr>
          <w:rFonts w:ascii="Arial" w:hAnsi="Arial" w:cs="Arial"/>
          <w:b/>
          <w:bCs/>
        </w:rPr>
      </w:pPr>
      <w:r>
        <w:rPr>
          <w:rFonts w:ascii="Arial" w:hAnsi="Arial" w:cs="Arial"/>
          <w:b/>
          <w:bCs/>
        </w:rPr>
        <w:t xml:space="preserve">Indicators produced by the OfS </w:t>
      </w:r>
    </w:p>
    <w:p w14:paraId="52F41DE5" w14:textId="77777777" w:rsidR="004525C2" w:rsidRDefault="004525C2" w:rsidP="004525C2">
      <w:pPr>
        <w:rPr>
          <w:rFonts w:ascii="Arial" w:hAnsi="Arial" w:cs="Arial"/>
        </w:rPr>
      </w:pPr>
      <w:r>
        <w:rPr>
          <w:rFonts w:ascii="Arial" w:hAnsi="Arial" w:cs="Arial"/>
        </w:rPr>
        <w:t xml:space="preserve">Each of the two TEF aspects are underpinned by a set of </w:t>
      </w:r>
      <w:r>
        <w:rPr>
          <w:rFonts w:ascii="Arial" w:hAnsi="Arial" w:cs="Arial"/>
          <w:b/>
          <w:bCs/>
        </w:rPr>
        <w:t>‘features of excellence’</w:t>
      </w:r>
      <w:r>
        <w:rPr>
          <w:rFonts w:ascii="Arial" w:hAnsi="Arial" w:cs="Arial"/>
        </w:rPr>
        <w:t xml:space="preserve"> which are set out </w:t>
      </w:r>
      <w:hyperlink r:id="rId12" w:anchor="page=77" w:history="1">
        <w:r>
          <w:rPr>
            <w:rStyle w:val="Hyperlink"/>
            <w:rFonts w:ascii="Arial" w:hAnsi="Arial" w:cs="Arial"/>
            <w:b/>
            <w:bCs/>
            <w:color w:val="0070C0"/>
          </w:rPr>
          <w:t>here</w:t>
        </w:r>
      </w:hyperlink>
      <w:r>
        <w:rPr>
          <w:rFonts w:ascii="Arial" w:hAnsi="Arial" w:cs="Arial"/>
        </w:rPr>
        <w:t xml:space="preserve">. However, the OfS stresses that it is not their intention that the features should be treated as exhaustive. </w:t>
      </w:r>
    </w:p>
    <w:p w14:paraId="320D9543" w14:textId="77777777" w:rsidR="004525C2" w:rsidRDefault="004525C2" w:rsidP="004525C2">
      <w:pPr>
        <w:rPr>
          <w:rFonts w:ascii="Arial" w:hAnsi="Arial" w:cs="Arial"/>
        </w:rPr>
      </w:pPr>
    </w:p>
    <w:p w14:paraId="7A2BB7A0" w14:textId="7B93AA08" w:rsidR="004525C2" w:rsidRDefault="004525C2" w:rsidP="004525C2">
      <w:pPr>
        <w:rPr>
          <w:rFonts w:ascii="Arial" w:hAnsi="Arial" w:cs="Arial"/>
        </w:rPr>
      </w:pPr>
      <w:r>
        <w:rPr>
          <w:rFonts w:ascii="Arial" w:hAnsi="Arial" w:cs="Arial"/>
        </w:rPr>
        <w:lastRenderedPageBreak/>
        <w:t xml:space="preserve">A rating will be awarded for each of the two aspects as well as for the provider overall and that all these ratings will be published. The features will be judged on the two levels of </w:t>
      </w:r>
      <w:r>
        <w:rPr>
          <w:rFonts w:ascii="Arial" w:hAnsi="Arial" w:cs="Arial"/>
          <w:b/>
          <w:bCs/>
        </w:rPr>
        <w:t>‘outstanding quality’</w:t>
      </w:r>
      <w:r>
        <w:rPr>
          <w:rFonts w:ascii="Arial" w:hAnsi="Arial" w:cs="Arial"/>
        </w:rPr>
        <w:t xml:space="preserve"> or </w:t>
      </w:r>
      <w:r>
        <w:rPr>
          <w:rFonts w:ascii="Arial" w:hAnsi="Arial" w:cs="Arial"/>
          <w:b/>
          <w:bCs/>
        </w:rPr>
        <w:t>‘very high quality’</w:t>
      </w:r>
      <w:r>
        <w:rPr>
          <w:rFonts w:ascii="Arial" w:hAnsi="Arial" w:cs="Arial"/>
        </w:rPr>
        <w:t>:</w:t>
      </w:r>
    </w:p>
    <w:p w14:paraId="57C7BD4B" w14:textId="77777777" w:rsidR="004525C2" w:rsidRDefault="004525C2" w:rsidP="004525C2">
      <w:pPr>
        <w:rPr>
          <w:rFonts w:ascii="Arial" w:hAnsi="Arial" w:cs="Arial"/>
        </w:rPr>
      </w:pPr>
    </w:p>
    <w:p w14:paraId="7A30625E" w14:textId="77777777" w:rsidR="004525C2" w:rsidRDefault="004525C2" w:rsidP="004525C2">
      <w:pPr>
        <w:pStyle w:val="ListParagraph"/>
        <w:numPr>
          <w:ilvl w:val="0"/>
          <w:numId w:val="9"/>
        </w:numPr>
        <w:spacing w:after="160" w:line="256" w:lineRule="auto"/>
        <w:rPr>
          <w:rFonts w:ascii="Arial" w:hAnsi="Arial" w:cs="Arial"/>
        </w:rPr>
      </w:pPr>
      <w:r>
        <w:rPr>
          <w:rFonts w:ascii="Arial" w:hAnsi="Arial" w:cs="Arial"/>
          <w:b/>
          <w:bCs/>
        </w:rPr>
        <w:t>Outstanding quality:</w:t>
      </w:r>
      <w:r>
        <w:rPr>
          <w:rFonts w:ascii="Arial" w:hAnsi="Arial" w:cs="Arial"/>
        </w:rPr>
        <w:t xml:space="preserve"> signifying a feature of the student experience or outcomes that is among the very highest quality found in the sector for the mix of students and courses taught by a provider.</w:t>
      </w:r>
    </w:p>
    <w:p w14:paraId="2D3AAA0F" w14:textId="77777777" w:rsidR="004525C2" w:rsidRDefault="004525C2" w:rsidP="004525C2">
      <w:pPr>
        <w:pStyle w:val="ListParagraph"/>
        <w:numPr>
          <w:ilvl w:val="0"/>
          <w:numId w:val="9"/>
        </w:numPr>
        <w:spacing w:after="160" w:line="256" w:lineRule="auto"/>
        <w:rPr>
          <w:rFonts w:ascii="Arial" w:hAnsi="Arial" w:cs="Arial"/>
        </w:rPr>
      </w:pPr>
      <w:r>
        <w:rPr>
          <w:rFonts w:ascii="Arial" w:hAnsi="Arial" w:cs="Arial"/>
          <w:b/>
          <w:bCs/>
        </w:rPr>
        <w:t xml:space="preserve">Very high quality: </w:t>
      </w:r>
      <w:r>
        <w:rPr>
          <w:rFonts w:ascii="Arial" w:hAnsi="Arial" w:cs="Arial"/>
        </w:rPr>
        <w:t>signifying a feature of the student experience or outcomes that is materially above the relevant minimum baseline quality requirements for the mix of students and courses taught by a provider.</w:t>
      </w:r>
    </w:p>
    <w:p w14:paraId="3E9AC94E" w14:textId="6AEEEB5E" w:rsidR="004525C2" w:rsidRDefault="004525C2" w:rsidP="004525C2">
      <w:pPr>
        <w:rPr>
          <w:rFonts w:ascii="Arial" w:hAnsi="Arial" w:cs="Arial"/>
        </w:rPr>
      </w:pPr>
      <w:r>
        <w:rPr>
          <w:rFonts w:ascii="Arial" w:hAnsi="Arial" w:cs="Arial"/>
        </w:rPr>
        <w:t xml:space="preserve">This approach is intended to ensure that the TEF assessment can differentiate degrees of excellence above the proposed </w:t>
      </w:r>
      <w:proofErr w:type="spellStart"/>
      <w:r>
        <w:rPr>
          <w:rFonts w:ascii="Arial" w:hAnsi="Arial" w:cs="Arial"/>
        </w:rPr>
        <w:t>OfS’s</w:t>
      </w:r>
      <w:proofErr w:type="spellEnd"/>
      <w:r>
        <w:rPr>
          <w:rFonts w:ascii="Arial" w:hAnsi="Arial" w:cs="Arial"/>
        </w:rPr>
        <w:t xml:space="preserve"> minimum requirements. </w:t>
      </w:r>
    </w:p>
    <w:p w14:paraId="6AC855BB" w14:textId="77777777" w:rsidR="004525C2" w:rsidRDefault="004525C2" w:rsidP="004525C2">
      <w:pPr>
        <w:rPr>
          <w:rFonts w:ascii="Arial" w:hAnsi="Arial" w:cs="Arial"/>
        </w:rPr>
      </w:pPr>
    </w:p>
    <w:p w14:paraId="53299698" w14:textId="3DA58E74" w:rsidR="004525C2" w:rsidRDefault="004525C2" w:rsidP="004525C2">
      <w:pPr>
        <w:rPr>
          <w:rFonts w:ascii="Arial" w:hAnsi="Arial" w:cs="Arial"/>
        </w:rPr>
      </w:pPr>
      <w:r>
        <w:rPr>
          <w:rFonts w:ascii="Arial" w:hAnsi="Arial" w:cs="Arial"/>
        </w:rPr>
        <w:t xml:space="preserve">The overall </w:t>
      </w:r>
      <w:r>
        <w:rPr>
          <w:rFonts w:ascii="Arial" w:hAnsi="Arial" w:cs="Arial"/>
          <w:b/>
          <w:bCs/>
        </w:rPr>
        <w:t>Gold, Silver and Bronze</w:t>
      </w:r>
      <w:r>
        <w:rPr>
          <w:rFonts w:ascii="Arial" w:hAnsi="Arial" w:cs="Arial"/>
        </w:rPr>
        <w:t xml:space="preserve"> provider rating categories remain unchanged. However, there is now a fourth category of </w:t>
      </w:r>
      <w:r>
        <w:rPr>
          <w:rFonts w:ascii="Arial" w:hAnsi="Arial" w:cs="Arial"/>
          <w:b/>
          <w:bCs/>
        </w:rPr>
        <w:t>‘Requires Improvement’</w:t>
      </w:r>
      <w:r>
        <w:rPr>
          <w:rFonts w:ascii="Arial" w:hAnsi="Arial" w:cs="Arial"/>
        </w:rPr>
        <w:t xml:space="preserve"> for those providers that aren’t deemed to demonstrate excellence but meet baseline conditions of registration. The awards will last for four years. </w:t>
      </w:r>
    </w:p>
    <w:p w14:paraId="0582F332" w14:textId="77777777" w:rsidR="004525C2" w:rsidRDefault="004525C2" w:rsidP="004525C2">
      <w:pPr>
        <w:rPr>
          <w:rFonts w:ascii="Arial" w:hAnsi="Arial" w:cs="Arial"/>
        </w:rPr>
      </w:pPr>
    </w:p>
    <w:p w14:paraId="7D831636" w14:textId="1356D701" w:rsidR="004525C2" w:rsidRDefault="004525C2" w:rsidP="004525C2">
      <w:pPr>
        <w:rPr>
          <w:rFonts w:ascii="Arial" w:hAnsi="Arial" w:cs="Arial"/>
        </w:rPr>
      </w:pPr>
      <w:r>
        <w:rPr>
          <w:rFonts w:ascii="Arial" w:hAnsi="Arial" w:cs="Arial"/>
        </w:rPr>
        <w:t xml:space="preserve">In accordance with the OfS TEF timeline the submission window is now open and will close in mid-January 2023. Outcomes will be announced in September 2023. </w:t>
      </w:r>
    </w:p>
    <w:p w14:paraId="28F82362" w14:textId="77777777" w:rsidR="004525C2" w:rsidRDefault="004525C2" w:rsidP="004525C2">
      <w:pPr>
        <w:rPr>
          <w:rFonts w:ascii="Arial" w:hAnsi="Arial" w:cs="Arial"/>
        </w:rPr>
      </w:pPr>
      <w:r>
        <w:rPr>
          <w:rFonts w:ascii="Arial" w:hAnsi="Arial" w:cs="Arial"/>
        </w:rPr>
        <w:t xml:space="preserve">The full guidance is expected to be published in the first week of October. </w:t>
      </w:r>
    </w:p>
    <w:p w14:paraId="3DC56B17" w14:textId="77777777" w:rsidR="004525C2" w:rsidRDefault="004525C2" w:rsidP="004525C2">
      <w:pPr>
        <w:rPr>
          <w:rFonts w:ascii="Arial" w:hAnsi="Arial" w:cs="Arial"/>
          <w:i/>
          <w:iCs/>
        </w:rPr>
      </w:pPr>
    </w:p>
    <w:p w14:paraId="5272338D" w14:textId="0BB870A0" w:rsidR="004525C2" w:rsidRDefault="004525C2" w:rsidP="004525C2">
      <w:pPr>
        <w:rPr>
          <w:rFonts w:ascii="Arial" w:hAnsi="Arial" w:cs="Arial"/>
          <w:i/>
          <w:iCs/>
        </w:rPr>
      </w:pPr>
      <w:r>
        <w:rPr>
          <w:rFonts w:ascii="Arial" w:hAnsi="Arial" w:cs="Arial"/>
          <w:i/>
          <w:iCs/>
        </w:rPr>
        <w:t>City response</w:t>
      </w:r>
    </w:p>
    <w:p w14:paraId="6D4E311B" w14:textId="77777777" w:rsidR="004525C2" w:rsidRDefault="004525C2" w:rsidP="004525C2">
      <w:pPr>
        <w:rPr>
          <w:rFonts w:ascii="Arial" w:hAnsi="Arial" w:cs="Arial"/>
        </w:rPr>
      </w:pPr>
    </w:p>
    <w:p w14:paraId="023096F9" w14:textId="6BBEC41B" w:rsidR="004525C2" w:rsidRDefault="004525C2" w:rsidP="004525C2">
      <w:pPr>
        <w:rPr>
          <w:rFonts w:ascii="Arial" w:hAnsi="Arial" w:cs="Arial"/>
        </w:rPr>
      </w:pPr>
      <w:r>
        <w:rPr>
          <w:rFonts w:ascii="Arial" w:hAnsi="Arial" w:cs="Arial"/>
        </w:rPr>
        <w:t>OfS has published data that will inform the decisions of the assessment panels. City’s top-level data is as follows:</w:t>
      </w:r>
    </w:p>
    <w:p w14:paraId="10761DD9" w14:textId="77777777" w:rsidR="004525C2" w:rsidRDefault="004525C2" w:rsidP="004525C2">
      <w:pPr>
        <w:rPr>
          <w:rFonts w:ascii="Arial" w:hAnsi="Arial" w:cs="Arial"/>
        </w:rPr>
      </w:pPr>
    </w:p>
    <w:p w14:paraId="1D1C6D68" w14:textId="77777777" w:rsidR="004525C2" w:rsidRDefault="004525C2" w:rsidP="004525C2">
      <w:pPr>
        <w:rPr>
          <w:rFonts w:ascii="Arial" w:hAnsi="Arial" w:cs="Arial"/>
          <w:sz w:val="18"/>
          <w:szCs w:val="18"/>
        </w:rPr>
      </w:pPr>
      <w:r>
        <w:rPr>
          <w:rFonts w:ascii="Arial" w:hAnsi="Arial" w:cs="Arial"/>
          <w:sz w:val="18"/>
          <w:szCs w:val="18"/>
        </w:rPr>
        <w:t>Student experience</w:t>
      </w:r>
    </w:p>
    <w:p w14:paraId="669DE2EF" w14:textId="1E63BFD0" w:rsidR="004525C2" w:rsidRDefault="004525C2" w:rsidP="004525C2">
      <w:pPr>
        <w:rPr>
          <w:rFonts w:ascii="Arial" w:hAnsi="Arial" w:cs="Arial"/>
        </w:rPr>
      </w:pPr>
      <w:r>
        <w:rPr>
          <w:rFonts w:ascii="Arial" w:hAnsi="Arial" w:cs="Arial"/>
          <w:noProof/>
        </w:rPr>
        <w:drawing>
          <wp:inline distT="0" distB="0" distL="0" distR="0" wp14:anchorId="77976891" wp14:editId="0FBB96A5">
            <wp:extent cx="5727700" cy="1517650"/>
            <wp:effectExtent l="0" t="0" r="6350" b="6350"/>
            <wp:docPr id="2" name="Picture 2"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art, scatter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7700" cy="1517650"/>
                    </a:xfrm>
                    <a:prstGeom prst="rect">
                      <a:avLst/>
                    </a:prstGeom>
                    <a:noFill/>
                    <a:ln>
                      <a:noFill/>
                    </a:ln>
                  </pic:spPr>
                </pic:pic>
              </a:graphicData>
            </a:graphic>
          </wp:inline>
        </w:drawing>
      </w:r>
    </w:p>
    <w:p w14:paraId="73C247F4" w14:textId="77777777" w:rsidR="004525C2" w:rsidRDefault="004525C2" w:rsidP="004525C2">
      <w:pPr>
        <w:rPr>
          <w:rFonts w:ascii="Arial" w:hAnsi="Arial" w:cs="Arial"/>
        </w:rPr>
      </w:pPr>
    </w:p>
    <w:p w14:paraId="5217C57D" w14:textId="77777777" w:rsidR="004525C2" w:rsidRDefault="004525C2" w:rsidP="004525C2">
      <w:pPr>
        <w:rPr>
          <w:rFonts w:ascii="Arial" w:hAnsi="Arial" w:cs="Arial"/>
          <w:sz w:val="18"/>
          <w:szCs w:val="18"/>
        </w:rPr>
      </w:pPr>
      <w:r>
        <w:rPr>
          <w:rFonts w:ascii="Arial" w:hAnsi="Arial" w:cs="Arial"/>
          <w:sz w:val="18"/>
          <w:szCs w:val="18"/>
        </w:rPr>
        <w:t>Student outcomes</w:t>
      </w:r>
    </w:p>
    <w:p w14:paraId="75001E01" w14:textId="29553978" w:rsidR="004525C2" w:rsidRDefault="004525C2" w:rsidP="004525C2">
      <w:pPr>
        <w:rPr>
          <w:rFonts w:ascii="Arial" w:hAnsi="Arial" w:cs="Arial"/>
        </w:rPr>
      </w:pPr>
      <w:r>
        <w:rPr>
          <w:rFonts w:ascii="Arial" w:hAnsi="Arial" w:cs="Arial"/>
          <w:noProof/>
        </w:rPr>
        <w:drawing>
          <wp:inline distT="0" distB="0" distL="0" distR="0" wp14:anchorId="06937984" wp14:editId="12B448B0">
            <wp:extent cx="5731510" cy="1110615"/>
            <wp:effectExtent l="0" t="0" r="254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1110615"/>
                    </a:xfrm>
                    <a:prstGeom prst="rect">
                      <a:avLst/>
                    </a:prstGeom>
                    <a:noFill/>
                    <a:ln>
                      <a:noFill/>
                    </a:ln>
                  </pic:spPr>
                </pic:pic>
              </a:graphicData>
            </a:graphic>
          </wp:inline>
        </w:drawing>
      </w:r>
    </w:p>
    <w:p w14:paraId="21E89899" w14:textId="77777777" w:rsidR="004525C2" w:rsidRDefault="004525C2" w:rsidP="004525C2">
      <w:pPr>
        <w:rPr>
          <w:rFonts w:ascii="Arial" w:hAnsi="Arial" w:cs="Arial"/>
        </w:rPr>
      </w:pPr>
    </w:p>
    <w:p w14:paraId="208C0526" w14:textId="6E99EB66" w:rsidR="004525C2" w:rsidRDefault="004525C2" w:rsidP="004525C2">
      <w:pPr>
        <w:rPr>
          <w:rFonts w:ascii="Arial" w:hAnsi="Arial" w:cs="Arial"/>
        </w:rPr>
      </w:pPr>
      <w:r>
        <w:rPr>
          <w:rFonts w:ascii="Arial" w:hAnsi="Arial" w:cs="Arial"/>
        </w:rPr>
        <w:t xml:space="preserve">City has put together a steering group to oversee the development of City’s submission, and a smaller writing group. The writing group will coordinate our submission response, working with each school and relevant professional service staff to collect examples and develop the narrative. The steering group will also work alongside the SU who will also have the opportunity to submit a response through the TEF process. </w:t>
      </w:r>
    </w:p>
    <w:p w14:paraId="36AE5527" w14:textId="77777777" w:rsidR="004525C2" w:rsidRDefault="004525C2" w:rsidP="004525C2">
      <w:pPr>
        <w:rPr>
          <w:rFonts w:ascii="Arial" w:hAnsi="Arial" w:cs="Arial"/>
        </w:rPr>
      </w:pPr>
      <w:r>
        <w:rPr>
          <w:rFonts w:ascii="Arial" w:hAnsi="Arial" w:cs="Arial"/>
        </w:rPr>
        <w:lastRenderedPageBreak/>
        <w:t>The steering group will be advised by the Education Strategy Forum, and will report formally to EEB, and then to Senate. The steering group will provide regular updates to EEB. The final submission will be signed off by SLT with reference to Council as appropriate.</w:t>
      </w:r>
    </w:p>
    <w:p w14:paraId="5905848B" w14:textId="77777777" w:rsidR="004525C2" w:rsidRDefault="004525C2" w:rsidP="004525C2">
      <w:pPr>
        <w:rPr>
          <w:rFonts w:ascii="Arial" w:hAnsi="Arial" w:cs="Arial"/>
          <w:b/>
          <w:bCs/>
        </w:rPr>
      </w:pPr>
    </w:p>
    <w:p w14:paraId="43BABE5C" w14:textId="77777777" w:rsidR="004525C2" w:rsidRDefault="004525C2" w:rsidP="004525C2">
      <w:pPr>
        <w:rPr>
          <w:rFonts w:ascii="Arial" w:hAnsi="Arial" w:cs="Arial"/>
          <w:b/>
          <w:bCs/>
        </w:rPr>
      </w:pPr>
      <w:r>
        <w:rPr>
          <w:rFonts w:ascii="Arial" w:hAnsi="Arial" w:cs="Arial"/>
          <w:b/>
          <w:bCs/>
        </w:rPr>
        <w:t>Condition B1, B2, B4, B5 – Baseline regulatory requirements</w:t>
      </w:r>
    </w:p>
    <w:p w14:paraId="27C27B21" w14:textId="77777777" w:rsidR="004525C2" w:rsidRDefault="004525C2" w:rsidP="004525C2">
      <w:pPr>
        <w:rPr>
          <w:rFonts w:ascii="Arial" w:hAnsi="Arial" w:cs="Arial"/>
          <w:i/>
          <w:iCs/>
        </w:rPr>
      </w:pPr>
    </w:p>
    <w:p w14:paraId="6E259E8B" w14:textId="6209A9C3" w:rsidR="004525C2" w:rsidRDefault="004525C2" w:rsidP="004525C2">
      <w:pPr>
        <w:rPr>
          <w:rFonts w:ascii="Arial" w:hAnsi="Arial" w:cs="Arial"/>
          <w:i/>
          <w:iCs/>
        </w:rPr>
      </w:pPr>
      <w:r>
        <w:rPr>
          <w:rFonts w:ascii="Arial" w:hAnsi="Arial" w:cs="Arial"/>
          <w:i/>
          <w:iCs/>
        </w:rPr>
        <w:t>Context</w:t>
      </w:r>
    </w:p>
    <w:p w14:paraId="21590177" w14:textId="77777777" w:rsidR="004525C2" w:rsidRDefault="004525C2" w:rsidP="004525C2">
      <w:pPr>
        <w:rPr>
          <w:rFonts w:ascii="Arial" w:hAnsi="Arial" w:cs="Arial"/>
        </w:rPr>
      </w:pPr>
    </w:p>
    <w:p w14:paraId="34403382" w14:textId="6AFA59EE" w:rsidR="004525C2" w:rsidRDefault="004525C2" w:rsidP="004525C2">
      <w:pPr>
        <w:rPr>
          <w:rFonts w:ascii="Arial" w:hAnsi="Arial" w:cs="Arial"/>
        </w:rPr>
      </w:pPr>
      <w:r>
        <w:rPr>
          <w:rFonts w:ascii="Arial" w:hAnsi="Arial" w:cs="Arial"/>
        </w:rPr>
        <w:t>Earlier in 2022 OfS issued new conditions relating to assuring academic quality and standards as follows:</w:t>
      </w:r>
    </w:p>
    <w:p w14:paraId="1E04C331" w14:textId="77777777" w:rsidR="004525C2" w:rsidRDefault="004525C2" w:rsidP="004525C2">
      <w:pPr>
        <w:numPr>
          <w:ilvl w:val="0"/>
          <w:numId w:val="10"/>
        </w:numPr>
        <w:shd w:val="clear" w:color="auto" w:fill="FFFFFF"/>
        <w:spacing w:before="100" w:beforeAutospacing="1" w:after="150"/>
        <w:rPr>
          <w:rFonts w:ascii="Arial" w:eastAsia="Times New Roman" w:hAnsi="Arial" w:cs="Arial"/>
          <w:color w:val="333333"/>
          <w:lang w:eastAsia="en-GB"/>
        </w:rPr>
      </w:pPr>
      <w:r>
        <w:rPr>
          <w:rFonts w:ascii="Arial" w:eastAsia="Times New Roman" w:hAnsi="Arial" w:cs="Arial"/>
          <w:color w:val="333333"/>
          <w:lang w:eastAsia="en-GB"/>
        </w:rPr>
        <w:t xml:space="preserve">Condition B1 which requires that all students receive a </w:t>
      </w:r>
      <w:proofErr w:type="gramStart"/>
      <w:r>
        <w:rPr>
          <w:rFonts w:ascii="Arial" w:eastAsia="Times New Roman" w:hAnsi="Arial" w:cs="Arial"/>
          <w:color w:val="333333"/>
          <w:lang w:eastAsia="en-GB"/>
        </w:rPr>
        <w:t>high quality</w:t>
      </w:r>
      <w:proofErr w:type="gramEnd"/>
      <w:r>
        <w:rPr>
          <w:rFonts w:ascii="Arial" w:eastAsia="Times New Roman" w:hAnsi="Arial" w:cs="Arial"/>
          <w:color w:val="333333"/>
          <w:lang w:eastAsia="en-GB"/>
        </w:rPr>
        <w:t xml:space="preserve"> academic experience. This means that courses must be up-to-date, challenging and well delivered, and equip students with the skills they will need after graduation.</w:t>
      </w:r>
    </w:p>
    <w:p w14:paraId="37C0F4C9" w14:textId="77777777" w:rsidR="004525C2" w:rsidRDefault="004525C2" w:rsidP="004525C2">
      <w:pPr>
        <w:numPr>
          <w:ilvl w:val="0"/>
          <w:numId w:val="10"/>
        </w:numPr>
        <w:shd w:val="clear" w:color="auto" w:fill="FFFFFF"/>
        <w:spacing w:before="100" w:beforeAutospacing="1" w:after="150"/>
        <w:rPr>
          <w:rFonts w:ascii="Arial" w:eastAsia="Times New Roman" w:hAnsi="Arial" w:cs="Arial"/>
          <w:color w:val="333333"/>
          <w:lang w:eastAsia="en-GB"/>
        </w:rPr>
      </w:pPr>
      <w:r>
        <w:rPr>
          <w:rFonts w:ascii="Arial" w:eastAsia="Times New Roman" w:hAnsi="Arial" w:cs="Arial"/>
          <w:color w:val="333333"/>
          <w:lang w:eastAsia="en-GB"/>
        </w:rPr>
        <w:t>Condition B2 which requires that all students receive the resources and support they need to succeed on their courses and after graduation. This is particularly important for students from disadvantaged backgrounds.</w:t>
      </w:r>
    </w:p>
    <w:p w14:paraId="007B8F87" w14:textId="77777777" w:rsidR="004525C2" w:rsidRDefault="004525C2" w:rsidP="004525C2">
      <w:pPr>
        <w:numPr>
          <w:ilvl w:val="0"/>
          <w:numId w:val="10"/>
        </w:numPr>
        <w:shd w:val="clear" w:color="auto" w:fill="FFFFFF"/>
        <w:spacing w:before="100" w:beforeAutospacing="1" w:after="150"/>
        <w:rPr>
          <w:rFonts w:ascii="Arial" w:eastAsia="Times New Roman" w:hAnsi="Arial" w:cs="Arial"/>
          <w:color w:val="333333"/>
          <w:lang w:eastAsia="en-GB"/>
        </w:rPr>
      </w:pPr>
      <w:r>
        <w:rPr>
          <w:rFonts w:ascii="Arial" w:eastAsia="Times New Roman" w:hAnsi="Arial" w:cs="Arial"/>
          <w:color w:val="333333"/>
          <w:lang w:eastAsia="en-GB"/>
        </w:rPr>
        <w:t>Condition B4 which clamps down on grade inflation by requiring universities and colleges to assess students effectively and award qualifications that are credible and stand the test of time.</w:t>
      </w:r>
    </w:p>
    <w:p w14:paraId="1F3DCC9E" w14:textId="77777777" w:rsidR="004525C2" w:rsidRDefault="004525C2" w:rsidP="004525C2">
      <w:pPr>
        <w:numPr>
          <w:ilvl w:val="0"/>
          <w:numId w:val="10"/>
        </w:numPr>
        <w:shd w:val="clear" w:color="auto" w:fill="FFFFFF"/>
        <w:spacing w:before="100" w:beforeAutospacing="1" w:after="150"/>
        <w:rPr>
          <w:rFonts w:ascii="Arial" w:eastAsia="Times New Roman" w:hAnsi="Arial" w:cs="Arial"/>
          <w:color w:val="333333"/>
          <w:lang w:eastAsia="en-GB"/>
        </w:rPr>
      </w:pPr>
      <w:r>
        <w:rPr>
          <w:rFonts w:ascii="Arial" w:eastAsia="Times New Roman" w:hAnsi="Arial" w:cs="Arial"/>
          <w:color w:val="333333"/>
          <w:lang w:eastAsia="en-GB"/>
        </w:rPr>
        <w:t>Condition B5 which ensures that the standard of qualifications is consistent with sector-recognised standards.</w:t>
      </w:r>
    </w:p>
    <w:p w14:paraId="20DF8113" w14:textId="77777777" w:rsidR="004525C2" w:rsidRDefault="004525C2" w:rsidP="004525C2">
      <w:pPr>
        <w:rPr>
          <w:rFonts w:ascii="Arial" w:hAnsi="Arial" w:cs="Arial"/>
        </w:rPr>
      </w:pPr>
      <w:r>
        <w:rPr>
          <w:rFonts w:ascii="Arial" w:hAnsi="Arial" w:cs="Arial"/>
        </w:rPr>
        <w:t>These applied from May 2022.</w:t>
      </w:r>
    </w:p>
    <w:p w14:paraId="028214AB" w14:textId="77777777" w:rsidR="004525C2" w:rsidRDefault="004525C2" w:rsidP="004525C2">
      <w:pPr>
        <w:rPr>
          <w:rFonts w:ascii="Arial" w:hAnsi="Arial" w:cs="Arial"/>
        </w:rPr>
      </w:pPr>
    </w:p>
    <w:p w14:paraId="3967734F" w14:textId="509F18AA" w:rsidR="004525C2" w:rsidRDefault="004525C2" w:rsidP="004525C2">
      <w:pPr>
        <w:rPr>
          <w:rFonts w:ascii="Arial" w:hAnsi="Arial" w:cs="Arial"/>
        </w:rPr>
      </w:pPr>
      <w:r>
        <w:rPr>
          <w:rFonts w:ascii="Arial" w:hAnsi="Arial" w:cs="Arial"/>
        </w:rPr>
        <w:t xml:space="preserve">More detail can be found from here: </w:t>
      </w:r>
      <w:hyperlink r:id="rId15" w:history="1">
        <w:r>
          <w:rPr>
            <w:rStyle w:val="Hyperlink"/>
            <w:rFonts w:ascii="Arial" w:hAnsi="Arial" w:cs="Arial"/>
          </w:rPr>
          <w:t>New OfS conditions to raise quality bar and tackle grade inflation - Office for Students</w:t>
        </w:r>
      </w:hyperlink>
      <w:r>
        <w:rPr>
          <w:rFonts w:ascii="Arial" w:hAnsi="Arial" w:cs="Arial"/>
        </w:rPr>
        <w:t xml:space="preserve"> and </w:t>
      </w:r>
      <w:hyperlink r:id="rId16" w:history="1">
        <w:r>
          <w:rPr>
            <w:rStyle w:val="Hyperlink"/>
            <w:rFonts w:ascii="Arial" w:hAnsi="Arial" w:cs="Arial"/>
          </w:rPr>
          <w:t>Securing student success: Regulatory framework for higher education in England - Office for Students</w:t>
        </w:r>
      </w:hyperlink>
    </w:p>
    <w:p w14:paraId="3C42998E" w14:textId="77777777" w:rsidR="004525C2" w:rsidRDefault="004525C2" w:rsidP="004525C2">
      <w:pPr>
        <w:rPr>
          <w:rFonts w:ascii="Arial" w:hAnsi="Arial" w:cs="Arial"/>
          <w:i/>
          <w:iCs/>
        </w:rPr>
      </w:pPr>
    </w:p>
    <w:p w14:paraId="50BF5EC6" w14:textId="45F3FD20" w:rsidR="004525C2" w:rsidRDefault="004525C2" w:rsidP="004525C2">
      <w:pPr>
        <w:rPr>
          <w:rFonts w:ascii="Arial" w:hAnsi="Arial" w:cs="Arial"/>
          <w:i/>
          <w:iCs/>
        </w:rPr>
      </w:pPr>
      <w:r>
        <w:rPr>
          <w:rFonts w:ascii="Arial" w:hAnsi="Arial" w:cs="Arial"/>
          <w:i/>
          <w:iCs/>
        </w:rPr>
        <w:t>City response</w:t>
      </w:r>
    </w:p>
    <w:p w14:paraId="13EEA9C7" w14:textId="77777777" w:rsidR="004525C2" w:rsidRDefault="004525C2" w:rsidP="004525C2">
      <w:pPr>
        <w:rPr>
          <w:rFonts w:ascii="Arial" w:hAnsi="Arial" w:cs="Arial"/>
        </w:rPr>
      </w:pPr>
    </w:p>
    <w:p w14:paraId="58A3B595" w14:textId="535F8E9B" w:rsidR="004525C2" w:rsidRDefault="004525C2" w:rsidP="004525C2">
      <w:pPr>
        <w:rPr>
          <w:rFonts w:ascii="Arial" w:hAnsi="Arial" w:cs="Arial"/>
        </w:rPr>
      </w:pPr>
      <w:r>
        <w:rPr>
          <w:rFonts w:ascii="Arial" w:hAnsi="Arial" w:cs="Arial"/>
        </w:rPr>
        <w:t xml:space="preserve">City have been working to align its academic policies to reflect requirements of the OfS’ quality and standards conditions. This is a significant and ongoing task, which will also require a more </w:t>
      </w:r>
      <w:proofErr w:type="gramStart"/>
      <w:r>
        <w:rPr>
          <w:rFonts w:ascii="Arial" w:hAnsi="Arial" w:cs="Arial"/>
        </w:rPr>
        <w:t>in depth</w:t>
      </w:r>
      <w:proofErr w:type="gramEnd"/>
      <w:r>
        <w:rPr>
          <w:rFonts w:ascii="Arial" w:hAnsi="Arial" w:cs="Arial"/>
        </w:rPr>
        <w:t xml:space="preserve"> mapping exercise to ensure the full breadth of our policies and processes are suitably aligned. City will start this more </w:t>
      </w:r>
      <w:proofErr w:type="gramStart"/>
      <w:r>
        <w:rPr>
          <w:rFonts w:ascii="Arial" w:hAnsi="Arial" w:cs="Arial"/>
        </w:rPr>
        <w:t>in depth</w:t>
      </w:r>
      <w:proofErr w:type="gramEnd"/>
      <w:r>
        <w:rPr>
          <w:rFonts w:ascii="Arial" w:hAnsi="Arial" w:cs="Arial"/>
        </w:rPr>
        <w:t xml:space="preserve"> mapping and alignment at the start of 2023.</w:t>
      </w:r>
    </w:p>
    <w:p w14:paraId="551B45DE" w14:textId="77777777" w:rsidR="00C66D43" w:rsidRPr="00230684" w:rsidRDefault="00C66D43" w:rsidP="00543255">
      <w:pPr>
        <w:rPr>
          <w:rFonts w:ascii="Arial" w:hAnsi="Arial" w:cs="Arial"/>
        </w:rPr>
      </w:pPr>
    </w:p>
    <w:sectPr w:rsidR="00C66D43" w:rsidRPr="00230684" w:rsidSect="0023068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36AC8" w14:textId="77777777" w:rsidR="00367D05" w:rsidRDefault="00367D05" w:rsidP="00367D05">
      <w:r>
        <w:separator/>
      </w:r>
    </w:p>
  </w:endnote>
  <w:endnote w:type="continuationSeparator" w:id="0">
    <w:p w14:paraId="54F22BD0" w14:textId="77777777" w:rsidR="00367D05" w:rsidRDefault="00367D05" w:rsidP="0036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D5333" w14:textId="77777777" w:rsidR="00367D05" w:rsidRDefault="00367D05" w:rsidP="00367D05">
      <w:r>
        <w:separator/>
      </w:r>
    </w:p>
  </w:footnote>
  <w:footnote w:type="continuationSeparator" w:id="0">
    <w:p w14:paraId="4BE23839" w14:textId="77777777" w:rsidR="00367D05" w:rsidRDefault="00367D05" w:rsidP="00367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551C"/>
    <w:multiLevelType w:val="hybridMultilevel"/>
    <w:tmpl w:val="ED72C38C"/>
    <w:lvl w:ilvl="0" w:tplc="5BA2B04C">
      <w:start w:val="1"/>
      <w:numFmt w:val="decimal"/>
      <w:lvlText w:val="%1."/>
      <w:lvlJc w:val="left"/>
      <w:pPr>
        <w:ind w:left="720" w:hanging="360"/>
      </w:pPr>
      <w:rPr>
        <w:b/>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2EE71DF"/>
    <w:multiLevelType w:val="hybridMultilevel"/>
    <w:tmpl w:val="97B462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6340DFF"/>
    <w:multiLevelType w:val="hybridMultilevel"/>
    <w:tmpl w:val="3FB09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6BA1E43"/>
    <w:multiLevelType w:val="hybridMultilevel"/>
    <w:tmpl w:val="49FE0C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AAF65ED"/>
    <w:multiLevelType w:val="hybridMultilevel"/>
    <w:tmpl w:val="F528B034"/>
    <w:lvl w:ilvl="0" w:tplc="52168894">
      <w:start w:val="1"/>
      <w:numFmt w:val="decimal"/>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68E430B"/>
    <w:multiLevelType w:val="multilevel"/>
    <w:tmpl w:val="71646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7A282A"/>
    <w:multiLevelType w:val="hybridMultilevel"/>
    <w:tmpl w:val="1DEC39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5B22BE8"/>
    <w:multiLevelType w:val="hybridMultilevel"/>
    <w:tmpl w:val="35AEB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71E317B"/>
    <w:multiLevelType w:val="hybridMultilevel"/>
    <w:tmpl w:val="E11EF956"/>
    <w:lvl w:ilvl="0" w:tplc="57B6411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ABB5896"/>
    <w:multiLevelType w:val="hybridMultilevel"/>
    <w:tmpl w:val="0BAC44DC"/>
    <w:lvl w:ilvl="0" w:tplc="08090001">
      <w:start w:val="1"/>
      <w:numFmt w:val="bullet"/>
      <w:lvlText w:val=""/>
      <w:lvlJc w:val="left"/>
      <w:pPr>
        <w:ind w:left="720" w:hanging="360"/>
      </w:pPr>
      <w:rPr>
        <w:rFonts w:ascii="Symbol" w:hAnsi="Symbol" w:hint="default"/>
        <w:b/>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9"/>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43"/>
    <w:rsid w:val="00083466"/>
    <w:rsid w:val="00085396"/>
    <w:rsid w:val="001A5205"/>
    <w:rsid w:val="00230684"/>
    <w:rsid w:val="00241DD2"/>
    <w:rsid w:val="002600DA"/>
    <w:rsid w:val="00367D05"/>
    <w:rsid w:val="004525C2"/>
    <w:rsid w:val="00543255"/>
    <w:rsid w:val="005D1FBF"/>
    <w:rsid w:val="006A7948"/>
    <w:rsid w:val="006E51B3"/>
    <w:rsid w:val="006F51D2"/>
    <w:rsid w:val="00752052"/>
    <w:rsid w:val="00831518"/>
    <w:rsid w:val="00977090"/>
    <w:rsid w:val="00A341B4"/>
    <w:rsid w:val="00A625B0"/>
    <w:rsid w:val="00A7012E"/>
    <w:rsid w:val="00A75EF2"/>
    <w:rsid w:val="00AF6A39"/>
    <w:rsid w:val="00B60B2C"/>
    <w:rsid w:val="00C00866"/>
    <w:rsid w:val="00C66D43"/>
    <w:rsid w:val="00D869EC"/>
    <w:rsid w:val="00DE1218"/>
    <w:rsid w:val="00E077E7"/>
    <w:rsid w:val="00E7234B"/>
    <w:rsid w:val="00E811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81800"/>
  <w15:chartTrackingRefBased/>
  <w15:docId w15:val="{1ED65042-C685-45B1-9366-5E96095B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66D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D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D43"/>
    <w:rPr>
      <w:rFonts w:ascii="Segoe UI" w:hAnsi="Segoe UI" w:cs="Segoe UI"/>
      <w:sz w:val="18"/>
      <w:szCs w:val="18"/>
    </w:rPr>
  </w:style>
  <w:style w:type="paragraph" w:styleId="ListParagraph">
    <w:name w:val="List Paragraph"/>
    <w:basedOn w:val="Normal"/>
    <w:uiPriority w:val="34"/>
    <w:qFormat/>
    <w:rsid w:val="00D869EC"/>
    <w:pPr>
      <w:ind w:left="720"/>
      <w:contextualSpacing/>
    </w:pPr>
  </w:style>
  <w:style w:type="character" w:styleId="Hyperlink">
    <w:name w:val="Hyperlink"/>
    <w:basedOn w:val="DefaultParagraphFont"/>
    <w:uiPriority w:val="99"/>
    <w:semiHidden/>
    <w:unhideWhenUsed/>
    <w:rsid w:val="004525C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115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fficeforstudents.org.uk/media/402f5f16-58e5-4018-b4d0-593db61a320b/regulating-student-outcomes-analysis-of-responses-reformatted.pdf"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officeforstudents.org.uk/news-blog-and-events/press-and-media/ofs-sets-new-expectations-for-student-outcomes/" TargetMode="External"/><Relationship Id="rId12" Type="http://schemas.openxmlformats.org/officeDocument/2006/relationships/hyperlink" Target="https://www.officeforstudents.org.uk/media/42846a2c-aa90-40a7-9a0c-f207ddb599da/consultation-on-the-tef.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officeforstudents.org.uk/publications/securing-student-success-regulatory-framework-for-higher-education-in-englan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www.officeforstudents.org.uk/news-blog-and-events/press-and-media/new-ofs-conditions-to-raise-quality-bar-and-tackle-grade-inflation/"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Woodward, Louise</dc:creator>
  <cp:keywords/>
  <dc:description/>
  <cp:lastModifiedBy>Hogan, Sean</cp:lastModifiedBy>
  <cp:revision>3</cp:revision>
  <dcterms:created xsi:type="dcterms:W3CDTF">2022-10-20T15:21:00Z</dcterms:created>
  <dcterms:modified xsi:type="dcterms:W3CDTF">2022-10-20T15:22:00Z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2022-10-11T14:54:42Z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cf569e6c-47ba-4f23-ba57-3614ccae56e4</vt:lpwstr>
  </property>
  <property fmtid="{D5CDD505-2E9C-101B-9397-08002B2CF9AE}" pid="8" name="MSIP_Label_06c24981-b6df-48f8-949b-0896357b9b03_ContentBits">
    <vt:lpwstr>0</vt:lpwstr>
  </property>
</Properties>
</file>